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4CA0" w:rsidRDefault="00054CA0" w:rsidP="00054CA0"/>
    <w:p w:rsidR="00054CA0" w:rsidRPr="005B1257" w:rsidRDefault="00054CA0" w:rsidP="00054CA0">
      <w:pPr>
        <w:jc w:val="center"/>
        <w:rPr>
          <w:b/>
          <w:sz w:val="28"/>
          <w:szCs w:val="28"/>
        </w:rPr>
      </w:pPr>
      <w:bookmarkStart w:id="0" w:name="_GoBack"/>
      <w:r w:rsidRPr="005B1257">
        <w:rPr>
          <w:b/>
          <w:sz w:val="28"/>
          <w:szCs w:val="28"/>
        </w:rPr>
        <w:t xml:space="preserve">Manager’s Guide to </w:t>
      </w:r>
      <w:r>
        <w:rPr>
          <w:b/>
          <w:sz w:val="28"/>
          <w:szCs w:val="28"/>
        </w:rPr>
        <w:t>Proposing a Starting Salary</w:t>
      </w:r>
    </w:p>
    <w:bookmarkEnd w:id="0"/>
    <w:p w:rsidR="00880FA7" w:rsidRDefault="00880FA7" w:rsidP="00054CA0">
      <w:pPr>
        <w:ind w:left="0"/>
        <w:rPr>
          <w:b/>
          <w:u w:val="single"/>
        </w:rPr>
      </w:pPr>
      <w:r w:rsidRPr="00054CA0">
        <w:t xml:space="preserve">The proposed starting salary </w:t>
      </w:r>
      <w:r w:rsidR="009576DB">
        <w:t>is</w:t>
      </w:r>
      <w:r w:rsidRPr="00054CA0">
        <w:t xml:space="preserve"> submitted</w:t>
      </w:r>
      <w:r>
        <w:t xml:space="preserve"> in PeopleAdmin</w:t>
      </w:r>
      <w:r w:rsidRPr="00054CA0">
        <w:t xml:space="preserve"> by the department hiring manager through the appropriate higher-level authority for review and approval by Human Resources Services. </w:t>
      </w:r>
      <w:r>
        <w:t>No proposed starting salaries may be committed to without prior approval from Human Resource Services.</w:t>
      </w:r>
    </w:p>
    <w:p w:rsidR="00054CA0" w:rsidRPr="00C56FC9" w:rsidRDefault="00054CA0" w:rsidP="00054CA0">
      <w:pPr>
        <w:ind w:left="0"/>
        <w:rPr>
          <w:b/>
          <w:u w:val="single"/>
        </w:rPr>
      </w:pPr>
      <w:r w:rsidRPr="00C56FC9">
        <w:rPr>
          <w:b/>
          <w:u w:val="single"/>
        </w:rPr>
        <w:t>Exempt Staff:</w:t>
      </w:r>
    </w:p>
    <w:p w:rsidR="00EA4D9D" w:rsidRPr="00054CA0" w:rsidRDefault="00054CA0" w:rsidP="00C56FC9">
      <w:pPr>
        <w:spacing w:before="0" w:beforeAutospacing="0" w:after="0" w:afterAutospacing="0"/>
        <w:ind w:left="0"/>
      </w:pPr>
      <w:r>
        <w:t>In general:</w:t>
      </w:r>
      <w:r w:rsidR="00CE39F3" w:rsidRPr="00054CA0">
        <w:t xml:space="preserve"> </w:t>
      </w:r>
    </w:p>
    <w:p w:rsidR="00EA4D9D" w:rsidRPr="00054CA0" w:rsidRDefault="00CE39F3" w:rsidP="00C56FC9">
      <w:pPr>
        <w:numPr>
          <w:ilvl w:val="0"/>
          <w:numId w:val="2"/>
        </w:numPr>
        <w:spacing w:before="0" w:beforeAutospacing="0" w:after="0" w:afterAutospacing="0"/>
      </w:pPr>
      <w:r w:rsidRPr="00054CA0">
        <w:t xml:space="preserve">First Quartile (from the minimum up to halfway of the midpoint of the range): The first quartile of the range is usually intended for individuals who are new to the level or university, are in a learning situation, and/or do not have substantial directly related experience at the classification level. </w:t>
      </w:r>
    </w:p>
    <w:p w:rsidR="007B03A5" w:rsidRDefault="00CE39F3" w:rsidP="007B03A5">
      <w:pPr>
        <w:numPr>
          <w:ilvl w:val="0"/>
          <w:numId w:val="2"/>
        </w:numPr>
        <w:spacing w:before="0" w:beforeAutospacing="0" w:after="0" w:afterAutospacing="0"/>
      </w:pPr>
      <w:r w:rsidRPr="00054CA0">
        <w:t>Second Quartile</w:t>
      </w:r>
      <w:r w:rsidR="009576DB">
        <w:t xml:space="preserve"> (from halfway of the midpoint up to midpoint of the range)</w:t>
      </w:r>
      <w:r w:rsidRPr="00054CA0">
        <w:t xml:space="preserve">: In establishing appropriate starting rates the hiring department should consider factors such as education and experience beyond the minimum requirements for the position, directly related unique skills and competencies, strength of the relevant job market, and internal equity. </w:t>
      </w:r>
    </w:p>
    <w:p w:rsidR="007B03A5" w:rsidRPr="00054CA0" w:rsidRDefault="009576DB" w:rsidP="007B03A5">
      <w:pPr>
        <w:numPr>
          <w:ilvl w:val="0"/>
          <w:numId w:val="2"/>
        </w:numPr>
        <w:spacing w:before="0" w:beforeAutospacing="0" w:after="0" w:afterAutospacing="0"/>
      </w:pPr>
      <w:r>
        <w:t>Proposed starting s</w:t>
      </w:r>
      <w:r w:rsidR="007B03A5" w:rsidRPr="00054CA0">
        <w:t>alar</w:t>
      </w:r>
      <w:r w:rsidR="007B03A5">
        <w:t>ies</w:t>
      </w:r>
      <w:r w:rsidR="007B03A5" w:rsidRPr="00054CA0">
        <w:t xml:space="preserve"> above the mid-point </w:t>
      </w:r>
      <w:r w:rsidR="007B03A5">
        <w:t xml:space="preserve">are rare and require </w:t>
      </w:r>
      <w:r w:rsidR="007B03A5" w:rsidRPr="00054CA0">
        <w:t>approv</w:t>
      </w:r>
      <w:r>
        <w:t>al</w:t>
      </w:r>
      <w:r w:rsidR="007B03A5" w:rsidRPr="00054CA0">
        <w:t xml:space="preserve"> from the Assistant VP of HR Services (or designee)</w:t>
      </w:r>
      <w:r w:rsidR="007B03A5">
        <w:t>, in addition to standard approval processes</w:t>
      </w:r>
      <w:r w:rsidR="007B03A5" w:rsidRPr="00054CA0">
        <w:t xml:space="preserve">. </w:t>
      </w:r>
      <w:r w:rsidR="007B03A5">
        <w:t>Colleges/divisions should submit a formal request with justification</w:t>
      </w:r>
      <w:r>
        <w:t xml:space="preserve"> in PeopleAdmin</w:t>
      </w:r>
      <w:r w:rsidR="00D71F7B">
        <w:t xml:space="preserve"> (attached as a supplemental document)</w:t>
      </w:r>
      <w:r w:rsidR="007B03A5">
        <w:t xml:space="preserve">. </w:t>
      </w:r>
      <w:r w:rsidR="007B03A5" w:rsidRPr="00054CA0">
        <w:t>Factors that will be considered are:</w:t>
      </w:r>
    </w:p>
    <w:p w:rsidR="00D71F7B" w:rsidRDefault="007B03A5" w:rsidP="007B03A5">
      <w:pPr>
        <w:numPr>
          <w:ilvl w:val="1"/>
          <w:numId w:val="2"/>
        </w:numPr>
        <w:spacing w:before="0" w:beforeAutospacing="0" w:after="0" w:afterAutospacing="0"/>
      </w:pPr>
      <w:r>
        <w:t>T</w:t>
      </w:r>
      <w:r w:rsidRPr="00054CA0">
        <w:t>he extent to which the candidates directly related qualifications</w:t>
      </w:r>
      <w:r w:rsidR="00D71F7B">
        <w:t xml:space="preserve"> (see </w:t>
      </w:r>
      <w:hyperlink r:id="rId6" w:tgtFrame="_blank" w:history="1">
        <w:r w:rsidR="00D71F7B" w:rsidRPr="00D71F7B">
          <w:rPr>
            <w:rStyle w:val="Hyperlink"/>
          </w:rPr>
          <w:t>Manager’s Guide to Applicant Qualifications</w:t>
        </w:r>
      </w:hyperlink>
      <w:r w:rsidR="00D71F7B" w:rsidRPr="00D71F7B">
        <w:t>)</w:t>
      </w:r>
      <w:r w:rsidRPr="00054CA0">
        <w:t>, at an equivalent level, exceed the minimum requirements for the position;</w:t>
      </w:r>
    </w:p>
    <w:p w:rsidR="007B03A5" w:rsidRPr="00054CA0" w:rsidRDefault="007B03A5" w:rsidP="007B03A5">
      <w:pPr>
        <w:numPr>
          <w:ilvl w:val="1"/>
          <w:numId w:val="2"/>
        </w:numPr>
        <w:spacing w:before="0" w:beforeAutospacing="0" w:after="0" w:afterAutospacing="0"/>
      </w:pPr>
      <w:r>
        <w:t>C</w:t>
      </w:r>
      <w:r w:rsidRPr="00054CA0">
        <w:t>lassification market</w:t>
      </w:r>
      <w:r w:rsidR="00D71F7B">
        <w:t>, as established by Human Resource Services</w:t>
      </w:r>
      <w:r w:rsidRPr="00054CA0">
        <w:t>;</w:t>
      </w:r>
    </w:p>
    <w:p w:rsidR="007B03A5" w:rsidRPr="00054CA0" w:rsidRDefault="007B03A5" w:rsidP="007B03A5">
      <w:pPr>
        <w:numPr>
          <w:ilvl w:val="1"/>
          <w:numId w:val="2"/>
        </w:numPr>
        <w:spacing w:before="0" w:beforeAutospacing="0" w:after="0" w:afterAutospacing="0"/>
      </w:pPr>
      <w:r>
        <w:t>I</w:t>
      </w:r>
      <w:r w:rsidRPr="00054CA0">
        <w:t>nternal equity considerations;</w:t>
      </w:r>
    </w:p>
    <w:p w:rsidR="007B03A5" w:rsidRPr="00054CA0" w:rsidRDefault="007B03A5" w:rsidP="007B03A5">
      <w:pPr>
        <w:numPr>
          <w:ilvl w:val="1"/>
          <w:numId w:val="2"/>
        </w:numPr>
        <w:spacing w:before="0" w:beforeAutospacing="0" w:after="0" w:afterAutospacing="0"/>
      </w:pPr>
      <w:r>
        <w:t>U</w:t>
      </w:r>
      <w:r w:rsidRPr="00054CA0">
        <w:t>nique qualifications and skills;</w:t>
      </w:r>
    </w:p>
    <w:p w:rsidR="007B03A5" w:rsidRPr="00054CA0" w:rsidRDefault="007B03A5" w:rsidP="007B03A5">
      <w:pPr>
        <w:numPr>
          <w:ilvl w:val="1"/>
          <w:numId w:val="2"/>
        </w:numPr>
        <w:spacing w:before="0" w:beforeAutospacing="0" w:after="0" w:afterAutospacing="0"/>
      </w:pPr>
      <w:r>
        <w:t>M</w:t>
      </w:r>
      <w:r w:rsidRPr="00054CA0">
        <w:t>arket conditions (supply vs demand, location, etc.); and</w:t>
      </w:r>
    </w:p>
    <w:p w:rsidR="007B03A5" w:rsidRDefault="007B03A5" w:rsidP="007B03A5">
      <w:pPr>
        <w:numPr>
          <w:ilvl w:val="1"/>
          <w:numId w:val="2"/>
        </w:numPr>
        <w:spacing w:before="0" w:beforeAutospacing="0" w:after="0" w:afterAutospacing="0"/>
      </w:pPr>
      <w:r>
        <w:t>B</w:t>
      </w:r>
      <w:r w:rsidRPr="00054CA0">
        <w:t>udget constraints</w:t>
      </w:r>
    </w:p>
    <w:p w:rsidR="00C56FC9" w:rsidRDefault="00C56FC9" w:rsidP="00C56FC9">
      <w:pPr>
        <w:tabs>
          <w:tab w:val="num" w:pos="720"/>
        </w:tabs>
        <w:spacing w:before="0" w:beforeAutospacing="0" w:after="0" w:afterAutospacing="0"/>
        <w:ind w:left="0"/>
      </w:pPr>
    </w:p>
    <w:p w:rsidR="00EA4D9D" w:rsidRPr="00054CA0" w:rsidRDefault="00CE39F3" w:rsidP="00C56FC9">
      <w:pPr>
        <w:tabs>
          <w:tab w:val="num" w:pos="720"/>
        </w:tabs>
        <w:spacing w:before="0" w:beforeAutospacing="0" w:after="0" w:afterAutospacing="0"/>
        <w:ind w:left="0"/>
      </w:pPr>
      <w:r w:rsidRPr="00054CA0">
        <w:t>In establishing hiring rates, colleges/divisions shall give consideration to:</w:t>
      </w:r>
    </w:p>
    <w:p w:rsidR="00EA4D9D" w:rsidRPr="00054CA0" w:rsidRDefault="00CE39F3" w:rsidP="00C56FC9">
      <w:pPr>
        <w:numPr>
          <w:ilvl w:val="0"/>
          <w:numId w:val="3"/>
        </w:numPr>
        <w:spacing w:before="0" w:beforeAutospacing="0" w:after="0" w:afterAutospacing="0"/>
      </w:pPr>
      <w:r w:rsidRPr="00054CA0">
        <w:t xml:space="preserve">Where the proposed salary falls in the </w:t>
      </w:r>
      <w:r w:rsidR="007B03A5">
        <w:t xml:space="preserve">salary </w:t>
      </w:r>
      <w:r w:rsidRPr="00054CA0">
        <w:t xml:space="preserve">range </w:t>
      </w:r>
    </w:p>
    <w:p w:rsidR="00EA4D9D" w:rsidRPr="00054CA0" w:rsidRDefault="00CE39F3" w:rsidP="00C56FC9">
      <w:pPr>
        <w:numPr>
          <w:ilvl w:val="0"/>
          <w:numId w:val="3"/>
        </w:numPr>
        <w:spacing w:before="0" w:beforeAutospacing="0" w:after="0" w:afterAutospacing="0"/>
      </w:pPr>
      <w:r w:rsidRPr="00054CA0">
        <w:t xml:space="preserve">Its relationship to the salaries of other similarly qualified and/or experienced employees in the job classification (internal equity) </w:t>
      </w:r>
    </w:p>
    <w:p w:rsidR="00EA4D9D" w:rsidRPr="00054CA0" w:rsidRDefault="00CE39F3" w:rsidP="00C56FC9">
      <w:pPr>
        <w:numPr>
          <w:ilvl w:val="0"/>
          <w:numId w:val="3"/>
        </w:numPr>
        <w:spacing w:before="0" w:beforeAutospacing="0" w:after="0" w:afterAutospacing="0"/>
      </w:pPr>
      <w:r w:rsidRPr="00054CA0">
        <w:t xml:space="preserve">The prospective employee’s experience and individual qualifications </w:t>
      </w:r>
    </w:p>
    <w:p w:rsidR="00EA4D9D" w:rsidRPr="00054CA0" w:rsidRDefault="00CE39F3" w:rsidP="00C56FC9">
      <w:pPr>
        <w:numPr>
          <w:ilvl w:val="0"/>
          <w:numId w:val="3"/>
        </w:numPr>
        <w:spacing w:before="0" w:beforeAutospacing="0" w:after="0" w:afterAutospacing="0"/>
      </w:pPr>
      <w:r w:rsidRPr="00054CA0">
        <w:t>Competitive recruiting conditions</w:t>
      </w:r>
      <w:r w:rsidR="007B03A5">
        <w:t xml:space="preserve"> (difficult to recruit field)</w:t>
      </w:r>
    </w:p>
    <w:p w:rsidR="00EA4D9D" w:rsidRPr="00054CA0" w:rsidRDefault="00CE39F3" w:rsidP="00C56FC9">
      <w:pPr>
        <w:numPr>
          <w:ilvl w:val="0"/>
          <w:numId w:val="3"/>
        </w:numPr>
        <w:spacing w:before="0" w:beforeAutospacing="0" w:after="0" w:afterAutospacing="0"/>
      </w:pPr>
      <w:r w:rsidRPr="00054CA0">
        <w:t>The budget</w:t>
      </w:r>
      <w:r w:rsidR="007B03A5">
        <w:t>ed salary</w:t>
      </w:r>
    </w:p>
    <w:p w:rsidR="00C56FC9" w:rsidRDefault="00C56FC9" w:rsidP="00C56FC9">
      <w:pPr>
        <w:spacing w:before="0" w:beforeAutospacing="0" w:after="0" w:afterAutospacing="0"/>
        <w:ind w:left="0"/>
      </w:pPr>
    </w:p>
    <w:p w:rsidR="00CE39F3" w:rsidRDefault="00054CA0" w:rsidP="00880FA7">
      <w:pPr>
        <w:spacing w:before="0" w:beforeAutospacing="0" w:after="0" w:afterAutospacing="0"/>
        <w:ind w:left="0"/>
        <w:rPr>
          <w:b/>
          <w:u w:val="single"/>
        </w:rPr>
      </w:pPr>
      <w:r>
        <w:t>H</w:t>
      </w:r>
      <w:r w:rsidR="00CE39F3" w:rsidRPr="00054CA0">
        <w:t xml:space="preserve">iring managers </w:t>
      </w:r>
      <w:r w:rsidR="009576DB">
        <w:t>may</w:t>
      </w:r>
      <w:r w:rsidR="00CE39F3" w:rsidRPr="00054CA0">
        <w:t xml:space="preserve"> contact their HR Business Partner for guidance when establishing </w:t>
      </w:r>
      <w:r w:rsidR="009576DB">
        <w:t xml:space="preserve">a proposed starting </w:t>
      </w:r>
      <w:r w:rsidR="00CE39F3" w:rsidRPr="00054CA0">
        <w:t>salary rate for new employees.</w:t>
      </w:r>
      <w:r>
        <w:t xml:space="preserve"> </w:t>
      </w:r>
    </w:p>
    <w:p w:rsidR="00880FA7" w:rsidRDefault="00880FA7">
      <w:pPr>
        <w:rPr>
          <w:b/>
          <w:u w:val="single"/>
        </w:rPr>
      </w:pPr>
      <w:r>
        <w:rPr>
          <w:b/>
          <w:u w:val="single"/>
        </w:rPr>
        <w:br w:type="page"/>
      </w:r>
    </w:p>
    <w:p w:rsidR="005A058D" w:rsidRDefault="005A058D" w:rsidP="00C56FC9">
      <w:pPr>
        <w:ind w:left="0"/>
        <w:rPr>
          <w:b/>
          <w:u w:val="single"/>
        </w:rPr>
      </w:pPr>
    </w:p>
    <w:p w:rsidR="00C56FC9" w:rsidRPr="00C56FC9" w:rsidRDefault="00C56FC9" w:rsidP="00C56FC9">
      <w:pPr>
        <w:ind w:left="0"/>
        <w:rPr>
          <w:b/>
          <w:u w:val="single"/>
        </w:rPr>
      </w:pPr>
      <w:r>
        <w:rPr>
          <w:b/>
          <w:u w:val="single"/>
        </w:rPr>
        <w:t>Non-e</w:t>
      </w:r>
      <w:r w:rsidRPr="00C56FC9">
        <w:rPr>
          <w:b/>
          <w:u w:val="single"/>
        </w:rPr>
        <w:t>xempt Staff:</w:t>
      </w:r>
    </w:p>
    <w:p w:rsidR="00C56FC9" w:rsidRPr="00054CA0" w:rsidRDefault="00880FA7" w:rsidP="00C56FC9">
      <w:pPr>
        <w:spacing w:before="0" w:beforeAutospacing="0" w:after="0" w:afterAutospacing="0"/>
        <w:ind w:left="0"/>
      </w:pPr>
      <w:r>
        <w:t>I</w:t>
      </w:r>
      <w:r w:rsidR="00C56FC9">
        <w:t>n general:</w:t>
      </w:r>
      <w:r w:rsidR="00C56FC9" w:rsidRPr="00054CA0">
        <w:t xml:space="preserve"> </w:t>
      </w:r>
    </w:p>
    <w:p w:rsidR="00106B01" w:rsidRDefault="00106B01" w:rsidP="00106B01">
      <w:pPr>
        <w:autoSpaceDE w:val="0"/>
        <w:autoSpaceDN w:val="0"/>
        <w:adjustRightInd w:val="0"/>
        <w:spacing w:before="0" w:beforeAutospacing="0" w:after="0" w:afterAutospacing="0"/>
        <w:ind w:left="0"/>
        <w:rPr>
          <w:rFonts w:ascii="Times New Roman" w:hAnsi="Times New Roman"/>
          <w:color w:val="000000"/>
          <w:sz w:val="23"/>
          <w:szCs w:val="23"/>
        </w:rPr>
      </w:pPr>
    </w:p>
    <w:p w:rsidR="009576DB" w:rsidRDefault="009576DB" w:rsidP="00106B01">
      <w:pPr>
        <w:pStyle w:val="ListParagraph"/>
        <w:numPr>
          <w:ilvl w:val="0"/>
          <w:numId w:val="6"/>
        </w:numPr>
        <w:autoSpaceDE w:val="0"/>
        <w:autoSpaceDN w:val="0"/>
        <w:adjustRightInd w:val="0"/>
        <w:spacing w:before="0" w:beforeAutospacing="0" w:after="0" w:afterAutospacing="0"/>
        <w:rPr>
          <w:color w:val="000000"/>
        </w:rPr>
      </w:pPr>
      <w:r w:rsidRPr="009576DB">
        <w:rPr>
          <w:color w:val="000000"/>
        </w:rPr>
        <w:t>Employees new to NMSU a</w:t>
      </w:r>
      <w:r w:rsidR="00106B01" w:rsidRPr="009576DB">
        <w:rPr>
          <w:color w:val="000000"/>
        </w:rPr>
        <w:t xml:space="preserve">re hired at entry level of the appropriate </w:t>
      </w:r>
      <w:r w:rsidRPr="009576DB">
        <w:rPr>
          <w:color w:val="000000"/>
        </w:rPr>
        <w:t>classification level</w:t>
      </w:r>
      <w:r w:rsidR="00106B01" w:rsidRPr="009576DB">
        <w:rPr>
          <w:color w:val="000000"/>
        </w:rPr>
        <w:t xml:space="preserve">. With justification and prior approval </w:t>
      </w:r>
      <w:r w:rsidR="00D71F7B">
        <w:rPr>
          <w:color w:val="000000"/>
        </w:rPr>
        <w:t xml:space="preserve">from the </w:t>
      </w:r>
      <w:r w:rsidR="00106B01" w:rsidRPr="009576DB">
        <w:rPr>
          <w:color w:val="000000"/>
        </w:rPr>
        <w:t xml:space="preserve">appropriate dean, </w:t>
      </w:r>
      <w:r w:rsidRPr="009576DB">
        <w:rPr>
          <w:color w:val="000000"/>
        </w:rPr>
        <w:t>cc president</w:t>
      </w:r>
      <w:r w:rsidR="00106B01" w:rsidRPr="009576DB">
        <w:rPr>
          <w:color w:val="000000"/>
        </w:rPr>
        <w:t>, vice president</w:t>
      </w:r>
      <w:r>
        <w:rPr>
          <w:color w:val="000000"/>
        </w:rPr>
        <w:t>,</w:t>
      </w:r>
      <w:r w:rsidR="00106B01" w:rsidRPr="009576DB">
        <w:rPr>
          <w:color w:val="000000"/>
        </w:rPr>
        <w:t xml:space="preserve"> and </w:t>
      </w:r>
      <w:r w:rsidR="00D71F7B">
        <w:rPr>
          <w:color w:val="000000"/>
        </w:rPr>
        <w:t>Human Resource Services</w:t>
      </w:r>
      <w:r w:rsidR="00106B01" w:rsidRPr="009576DB">
        <w:rPr>
          <w:color w:val="000000"/>
        </w:rPr>
        <w:t xml:space="preserve">, certain applicants may be hired at five (5%) percent or ten (10%) percent above the entry level dependent upon experience. Employees hired above entry level are not eligible for an end of probation increase. </w:t>
      </w:r>
    </w:p>
    <w:p w:rsidR="00B72C44" w:rsidRPr="00B72C44" w:rsidRDefault="00B72C44" w:rsidP="00B72C44">
      <w:pPr>
        <w:pStyle w:val="ListParagraph"/>
        <w:numPr>
          <w:ilvl w:val="1"/>
          <w:numId w:val="6"/>
        </w:numPr>
        <w:autoSpaceDE w:val="0"/>
        <w:autoSpaceDN w:val="0"/>
        <w:adjustRightInd w:val="0"/>
        <w:spacing w:before="0" w:beforeAutospacing="0" w:after="0" w:afterAutospacing="0"/>
        <w:rPr>
          <w:color w:val="000000"/>
        </w:rPr>
      </w:pPr>
      <w:r w:rsidRPr="00B72C44">
        <w:rPr>
          <w:color w:val="000000"/>
        </w:rPr>
        <w:t>5% above entry allowed with 5 years direct job related experience on top of minimum required experience.</w:t>
      </w:r>
    </w:p>
    <w:p w:rsidR="00B72C44" w:rsidRPr="00B72C44" w:rsidRDefault="00B72C44" w:rsidP="00B72C44">
      <w:pPr>
        <w:pStyle w:val="ListParagraph"/>
        <w:numPr>
          <w:ilvl w:val="1"/>
          <w:numId w:val="6"/>
        </w:numPr>
        <w:autoSpaceDE w:val="0"/>
        <w:autoSpaceDN w:val="0"/>
        <w:adjustRightInd w:val="0"/>
        <w:spacing w:before="0" w:beforeAutospacing="0" w:after="0" w:afterAutospacing="0"/>
        <w:rPr>
          <w:color w:val="000000"/>
        </w:rPr>
      </w:pPr>
      <w:r w:rsidRPr="00B72C44">
        <w:rPr>
          <w:color w:val="000000"/>
        </w:rPr>
        <w:t>10% above entry allowed with 10 years direct job related experience on top of minimum required experience.</w:t>
      </w:r>
    </w:p>
    <w:p w:rsidR="00106B01" w:rsidRPr="009576DB" w:rsidRDefault="00106B01" w:rsidP="00106B01">
      <w:pPr>
        <w:pStyle w:val="ListParagraph"/>
        <w:numPr>
          <w:ilvl w:val="0"/>
          <w:numId w:val="6"/>
        </w:numPr>
        <w:autoSpaceDE w:val="0"/>
        <w:autoSpaceDN w:val="0"/>
        <w:adjustRightInd w:val="0"/>
        <w:spacing w:before="0" w:beforeAutospacing="0" w:after="0" w:afterAutospacing="0"/>
        <w:rPr>
          <w:color w:val="000000"/>
        </w:rPr>
      </w:pPr>
      <w:r w:rsidRPr="009576DB">
        <w:rPr>
          <w:color w:val="000000"/>
        </w:rPr>
        <w:t xml:space="preserve">Current internal regular employees selected </w:t>
      </w:r>
      <w:r w:rsidR="009576DB">
        <w:rPr>
          <w:color w:val="000000"/>
        </w:rPr>
        <w:t xml:space="preserve">for </w:t>
      </w:r>
      <w:r w:rsidR="00D71F7B">
        <w:rPr>
          <w:color w:val="000000"/>
        </w:rPr>
        <w:t>other NMSU</w:t>
      </w:r>
      <w:r w:rsidR="009576DB">
        <w:rPr>
          <w:color w:val="000000"/>
        </w:rPr>
        <w:t xml:space="preserve"> positions </w:t>
      </w:r>
      <w:r w:rsidRPr="009576DB">
        <w:rPr>
          <w:color w:val="000000"/>
        </w:rPr>
        <w:t xml:space="preserve">in a recruitment process will follow the non-exempt policy, which can be found in the </w:t>
      </w:r>
      <w:hyperlink r:id="rId7" w:history="1">
        <w:r w:rsidRPr="009576DB">
          <w:rPr>
            <w:rStyle w:val="Hyperlink"/>
          </w:rPr>
          <w:t>AFSCME Agreement</w:t>
        </w:r>
      </w:hyperlink>
      <w:r w:rsidRPr="009576DB">
        <w:rPr>
          <w:color w:val="000000"/>
        </w:rPr>
        <w:t xml:space="preserve"> for bargaining unit eligible employees (Article 14, Section 2. Compensation Administration, E) and </w:t>
      </w:r>
      <w:hyperlink r:id="rId8" w:history="1">
        <w:r w:rsidRPr="00D71F7B">
          <w:rPr>
            <w:rStyle w:val="Hyperlink"/>
          </w:rPr>
          <w:t>Policy 8.15. Compensation</w:t>
        </w:r>
      </w:hyperlink>
      <w:r w:rsidRPr="009576DB">
        <w:rPr>
          <w:color w:val="000000"/>
        </w:rPr>
        <w:t xml:space="preserve"> for non-bargaining unit eligible employees. </w:t>
      </w:r>
      <w:r w:rsidR="00D71F7B">
        <w:rPr>
          <w:color w:val="000000"/>
        </w:rPr>
        <w:t>In general, t</w:t>
      </w:r>
      <w:r w:rsidRPr="009576DB">
        <w:rPr>
          <w:color w:val="000000"/>
        </w:rPr>
        <w:t xml:space="preserve">he new base salary for employees </w:t>
      </w:r>
      <w:r w:rsidR="00D71F7B">
        <w:rPr>
          <w:color w:val="000000"/>
        </w:rPr>
        <w:t>going to a higher level</w:t>
      </w:r>
      <w:r w:rsidRPr="009576DB">
        <w:rPr>
          <w:color w:val="000000"/>
        </w:rPr>
        <w:t xml:space="preserve"> will be: </w:t>
      </w:r>
    </w:p>
    <w:p w:rsidR="00106B01" w:rsidRPr="00CE39F3" w:rsidRDefault="00106B01" w:rsidP="00B72C44">
      <w:pPr>
        <w:pStyle w:val="ListParagraph"/>
        <w:numPr>
          <w:ilvl w:val="1"/>
          <w:numId w:val="10"/>
        </w:numPr>
        <w:autoSpaceDE w:val="0"/>
        <w:autoSpaceDN w:val="0"/>
        <w:adjustRightInd w:val="0"/>
        <w:spacing w:before="0" w:beforeAutospacing="0" w:after="0" w:afterAutospacing="0"/>
        <w:rPr>
          <w:color w:val="000000"/>
        </w:rPr>
      </w:pPr>
      <w:r w:rsidRPr="00CE39F3">
        <w:rPr>
          <w:color w:val="000000"/>
        </w:rPr>
        <w:t xml:space="preserve">5 percent if is one </w:t>
      </w:r>
      <w:r w:rsidR="009576DB">
        <w:rPr>
          <w:color w:val="000000"/>
        </w:rPr>
        <w:t>level</w:t>
      </w:r>
      <w:r w:rsidRPr="00CE39F3">
        <w:rPr>
          <w:color w:val="000000"/>
        </w:rPr>
        <w:t xml:space="preserve">. </w:t>
      </w:r>
    </w:p>
    <w:p w:rsidR="00106B01" w:rsidRPr="00CE39F3" w:rsidRDefault="00106B01" w:rsidP="00B72C44">
      <w:pPr>
        <w:pStyle w:val="ListParagraph"/>
        <w:numPr>
          <w:ilvl w:val="1"/>
          <w:numId w:val="10"/>
        </w:numPr>
        <w:autoSpaceDE w:val="0"/>
        <w:autoSpaceDN w:val="0"/>
        <w:adjustRightInd w:val="0"/>
        <w:spacing w:before="0" w:beforeAutospacing="0" w:after="0" w:afterAutospacing="0"/>
        <w:rPr>
          <w:color w:val="000000"/>
        </w:rPr>
      </w:pPr>
      <w:r w:rsidRPr="00CE39F3">
        <w:rPr>
          <w:color w:val="000000"/>
        </w:rPr>
        <w:t xml:space="preserve">8 percent if two or three </w:t>
      </w:r>
      <w:r w:rsidR="009576DB">
        <w:rPr>
          <w:color w:val="000000"/>
        </w:rPr>
        <w:t>level</w:t>
      </w:r>
      <w:r w:rsidR="00D71F7B">
        <w:rPr>
          <w:color w:val="000000"/>
        </w:rPr>
        <w:t>s</w:t>
      </w:r>
      <w:r w:rsidRPr="00CE39F3">
        <w:rPr>
          <w:color w:val="000000"/>
        </w:rPr>
        <w:t xml:space="preserve">. </w:t>
      </w:r>
    </w:p>
    <w:p w:rsidR="00106B01" w:rsidRPr="00CE39F3" w:rsidRDefault="00106B01" w:rsidP="00B72C44">
      <w:pPr>
        <w:pStyle w:val="ListParagraph"/>
        <w:numPr>
          <w:ilvl w:val="1"/>
          <w:numId w:val="10"/>
        </w:numPr>
        <w:autoSpaceDE w:val="0"/>
        <w:autoSpaceDN w:val="0"/>
        <w:adjustRightInd w:val="0"/>
        <w:spacing w:before="0" w:beforeAutospacing="0" w:after="0" w:afterAutospacing="0"/>
        <w:rPr>
          <w:color w:val="000000"/>
        </w:rPr>
      </w:pPr>
      <w:r w:rsidRPr="00CE39F3">
        <w:rPr>
          <w:color w:val="000000"/>
        </w:rPr>
        <w:t xml:space="preserve">15 percent if four or more </w:t>
      </w:r>
      <w:r w:rsidR="009576DB">
        <w:rPr>
          <w:color w:val="000000"/>
        </w:rPr>
        <w:t>level</w:t>
      </w:r>
      <w:r w:rsidR="00D71F7B">
        <w:rPr>
          <w:color w:val="000000"/>
        </w:rPr>
        <w:t>s</w:t>
      </w:r>
      <w:r w:rsidRPr="00CE39F3">
        <w:rPr>
          <w:color w:val="000000"/>
        </w:rPr>
        <w:t xml:space="preserve">. </w:t>
      </w:r>
    </w:p>
    <w:p w:rsidR="00106B01" w:rsidRPr="00CE39F3" w:rsidRDefault="00106B01" w:rsidP="00B72C44">
      <w:pPr>
        <w:pStyle w:val="ListParagraph"/>
        <w:numPr>
          <w:ilvl w:val="1"/>
          <w:numId w:val="10"/>
        </w:numPr>
        <w:autoSpaceDE w:val="0"/>
        <w:autoSpaceDN w:val="0"/>
        <w:adjustRightInd w:val="0"/>
        <w:spacing w:before="0" w:beforeAutospacing="0" w:after="0" w:afterAutospacing="0"/>
        <w:rPr>
          <w:color w:val="000000"/>
        </w:rPr>
      </w:pPr>
      <w:r w:rsidRPr="00CE39F3">
        <w:rPr>
          <w:color w:val="000000"/>
        </w:rPr>
        <w:t>5 percent above entry</w:t>
      </w:r>
      <w:r w:rsidR="00D71F7B">
        <w:rPr>
          <w:color w:val="000000"/>
        </w:rPr>
        <w:t xml:space="preserve"> of new higher</w:t>
      </w:r>
      <w:r w:rsidRPr="00CE39F3">
        <w:rPr>
          <w:color w:val="000000"/>
        </w:rPr>
        <w:t xml:space="preserve"> level </w:t>
      </w:r>
      <w:r w:rsidR="00D71F7B">
        <w:rPr>
          <w:color w:val="000000"/>
        </w:rPr>
        <w:t>or above current hourly rate</w:t>
      </w:r>
      <w:r w:rsidRPr="00CE39F3">
        <w:rPr>
          <w:color w:val="000000"/>
        </w:rPr>
        <w:t>, whichever is greater.</w:t>
      </w:r>
    </w:p>
    <w:sectPr w:rsidR="00106B01" w:rsidRPr="00CE39F3" w:rsidSect="001B02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910"/>
    <w:multiLevelType w:val="hybridMultilevel"/>
    <w:tmpl w:val="93F0F994"/>
    <w:lvl w:ilvl="0" w:tplc="2526930E">
      <w:start w:val="1"/>
      <w:numFmt w:val="bullet"/>
      <w:lvlText w:val=""/>
      <w:lvlJc w:val="left"/>
      <w:pPr>
        <w:tabs>
          <w:tab w:val="num" w:pos="360"/>
        </w:tabs>
        <w:ind w:left="360" w:hanging="360"/>
      </w:pPr>
      <w:rPr>
        <w:rFonts w:ascii="Wingdings" w:hAnsi="Wingdings" w:hint="default"/>
      </w:rPr>
    </w:lvl>
    <w:lvl w:ilvl="1" w:tplc="2DFA1F9E">
      <w:start w:val="1695"/>
      <w:numFmt w:val="bullet"/>
      <w:lvlText w:val="–"/>
      <w:lvlJc w:val="left"/>
      <w:pPr>
        <w:tabs>
          <w:tab w:val="num" w:pos="1080"/>
        </w:tabs>
        <w:ind w:left="1080" w:hanging="360"/>
      </w:pPr>
      <w:rPr>
        <w:rFonts w:ascii="Times New Roman" w:hAnsi="Times New Roman" w:hint="default"/>
      </w:rPr>
    </w:lvl>
    <w:lvl w:ilvl="2" w:tplc="7130B85C" w:tentative="1">
      <w:start w:val="1"/>
      <w:numFmt w:val="bullet"/>
      <w:lvlText w:val=""/>
      <w:lvlJc w:val="left"/>
      <w:pPr>
        <w:tabs>
          <w:tab w:val="num" w:pos="1800"/>
        </w:tabs>
        <w:ind w:left="1800" w:hanging="360"/>
      </w:pPr>
      <w:rPr>
        <w:rFonts w:ascii="Wingdings" w:hAnsi="Wingdings" w:hint="default"/>
      </w:rPr>
    </w:lvl>
    <w:lvl w:ilvl="3" w:tplc="202A76C6" w:tentative="1">
      <w:start w:val="1"/>
      <w:numFmt w:val="bullet"/>
      <w:lvlText w:val=""/>
      <w:lvlJc w:val="left"/>
      <w:pPr>
        <w:tabs>
          <w:tab w:val="num" w:pos="2520"/>
        </w:tabs>
        <w:ind w:left="2520" w:hanging="360"/>
      </w:pPr>
      <w:rPr>
        <w:rFonts w:ascii="Wingdings" w:hAnsi="Wingdings" w:hint="default"/>
      </w:rPr>
    </w:lvl>
    <w:lvl w:ilvl="4" w:tplc="E74C0508" w:tentative="1">
      <w:start w:val="1"/>
      <w:numFmt w:val="bullet"/>
      <w:lvlText w:val=""/>
      <w:lvlJc w:val="left"/>
      <w:pPr>
        <w:tabs>
          <w:tab w:val="num" w:pos="3240"/>
        </w:tabs>
        <w:ind w:left="3240" w:hanging="360"/>
      </w:pPr>
      <w:rPr>
        <w:rFonts w:ascii="Wingdings" w:hAnsi="Wingdings" w:hint="default"/>
      </w:rPr>
    </w:lvl>
    <w:lvl w:ilvl="5" w:tplc="73725390" w:tentative="1">
      <w:start w:val="1"/>
      <w:numFmt w:val="bullet"/>
      <w:lvlText w:val=""/>
      <w:lvlJc w:val="left"/>
      <w:pPr>
        <w:tabs>
          <w:tab w:val="num" w:pos="3960"/>
        </w:tabs>
        <w:ind w:left="3960" w:hanging="360"/>
      </w:pPr>
      <w:rPr>
        <w:rFonts w:ascii="Wingdings" w:hAnsi="Wingdings" w:hint="default"/>
      </w:rPr>
    </w:lvl>
    <w:lvl w:ilvl="6" w:tplc="48405444" w:tentative="1">
      <w:start w:val="1"/>
      <w:numFmt w:val="bullet"/>
      <w:lvlText w:val=""/>
      <w:lvlJc w:val="left"/>
      <w:pPr>
        <w:tabs>
          <w:tab w:val="num" w:pos="4680"/>
        </w:tabs>
        <w:ind w:left="4680" w:hanging="360"/>
      </w:pPr>
      <w:rPr>
        <w:rFonts w:ascii="Wingdings" w:hAnsi="Wingdings" w:hint="default"/>
      </w:rPr>
    </w:lvl>
    <w:lvl w:ilvl="7" w:tplc="30FA6348" w:tentative="1">
      <w:start w:val="1"/>
      <w:numFmt w:val="bullet"/>
      <w:lvlText w:val=""/>
      <w:lvlJc w:val="left"/>
      <w:pPr>
        <w:tabs>
          <w:tab w:val="num" w:pos="5400"/>
        </w:tabs>
        <w:ind w:left="5400" w:hanging="360"/>
      </w:pPr>
      <w:rPr>
        <w:rFonts w:ascii="Wingdings" w:hAnsi="Wingdings" w:hint="default"/>
      </w:rPr>
    </w:lvl>
    <w:lvl w:ilvl="8" w:tplc="31F4CBA2" w:tentative="1">
      <w:start w:val="1"/>
      <w:numFmt w:val="bullet"/>
      <w:lvlText w:val=""/>
      <w:lvlJc w:val="left"/>
      <w:pPr>
        <w:tabs>
          <w:tab w:val="num" w:pos="6120"/>
        </w:tabs>
        <w:ind w:left="6120" w:hanging="360"/>
      </w:pPr>
      <w:rPr>
        <w:rFonts w:ascii="Wingdings" w:hAnsi="Wingdings" w:hint="default"/>
      </w:rPr>
    </w:lvl>
  </w:abstractNum>
  <w:abstractNum w:abstractNumId="1">
    <w:nsid w:val="1B8F767D"/>
    <w:multiLevelType w:val="hybridMultilevel"/>
    <w:tmpl w:val="D6D09C1E"/>
    <w:lvl w:ilvl="0" w:tplc="0409000F">
      <w:start w:val="1"/>
      <w:numFmt w:val="decimal"/>
      <w:lvlText w:val="%1."/>
      <w:lvlJc w:val="left"/>
      <w:pPr>
        <w:tabs>
          <w:tab w:val="num" w:pos="720"/>
        </w:tabs>
        <w:ind w:left="720" w:hanging="360"/>
      </w:pPr>
      <w:rPr>
        <w:rFonts w:hint="default"/>
      </w:rPr>
    </w:lvl>
    <w:lvl w:ilvl="1" w:tplc="2DFA1F9E">
      <w:start w:val="1695"/>
      <w:numFmt w:val="bullet"/>
      <w:lvlText w:val="–"/>
      <w:lvlJc w:val="left"/>
      <w:pPr>
        <w:tabs>
          <w:tab w:val="num" w:pos="1440"/>
        </w:tabs>
        <w:ind w:left="1440" w:hanging="360"/>
      </w:pPr>
      <w:rPr>
        <w:rFonts w:ascii="Times New Roman" w:hAnsi="Times New Roman" w:hint="default"/>
      </w:rPr>
    </w:lvl>
    <w:lvl w:ilvl="2" w:tplc="7130B85C" w:tentative="1">
      <w:start w:val="1"/>
      <w:numFmt w:val="bullet"/>
      <w:lvlText w:val=""/>
      <w:lvlJc w:val="left"/>
      <w:pPr>
        <w:tabs>
          <w:tab w:val="num" w:pos="2160"/>
        </w:tabs>
        <w:ind w:left="2160" w:hanging="360"/>
      </w:pPr>
      <w:rPr>
        <w:rFonts w:ascii="Wingdings" w:hAnsi="Wingdings" w:hint="default"/>
      </w:rPr>
    </w:lvl>
    <w:lvl w:ilvl="3" w:tplc="202A76C6" w:tentative="1">
      <w:start w:val="1"/>
      <w:numFmt w:val="bullet"/>
      <w:lvlText w:val=""/>
      <w:lvlJc w:val="left"/>
      <w:pPr>
        <w:tabs>
          <w:tab w:val="num" w:pos="2880"/>
        </w:tabs>
        <w:ind w:left="2880" w:hanging="360"/>
      </w:pPr>
      <w:rPr>
        <w:rFonts w:ascii="Wingdings" w:hAnsi="Wingdings" w:hint="default"/>
      </w:rPr>
    </w:lvl>
    <w:lvl w:ilvl="4" w:tplc="E74C0508" w:tentative="1">
      <w:start w:val="1"/>
      <w:numFmt w:val="bullet"/>
      <w:lvlText w:val=""/>
      <w:lvlJc w:val="left"/>
      <w:pPr>
        <w:tabs>
          <w:tab w:val="num" w:pos="3600"/>
        </w:tabs>
        <w:ind w:left="3600" w:hanging="360"/>
      </w:pPr>
      <w:rPr>
        <w:rFonts w:ascii="Wingdings" w:hAnsi="Wingdings" w:hint="default"/>
      </w:rPr>
    </w:lvl>
    <w:lvl w:ilvl="5" w:tplc="73725390" w:tentative="1">
      <w:start w:val="1"/>
      <w:numFmt w:val="bullet"/>
      <w:lvlText w:val=""/>
      <w:lvlJc w:val="left"/>
      <w:pPr>
        <w:tabs>
          <w:tab w:val="num" w:pos="4320"/>
        </w:tabs>
        <w:ind w:left="4320" w:hanging="360"/>
      </w:pPr>
      <w:rPr>
        <w:rFonts w:ascii="Wingdings" w:hAnsi="Wingdings" w:hint="default"/>
      </w:rPr>
    </w:lvl>
    <w:lvl w:ilvl="6" w:tplc="48405444" w:tentative="1">
      <w:start w:val="1"/>
      <w:numFmt w:val="bullet"/>
      <w:lvlText w:val=""/>
      <w:lvlJc w:val="left"/>
      <w:pPr>
        <w:tabs>
          <w:tab w:val="num" w:pos="5040"/>
        </w:tabs>
        <w:ind w:left="5040" w:hanging="360"/>
      </w:pPr>
      <w:rPr>
        <w:rFonts w:ascii="Wingdings" w:hAnsi="Wingdings" w:hint="default"/>
      </w:rPr>
    </w:lvl>
    <w:lvl w:ilvl="7" w:tplc="30FA6348" w:tentative="1">
      <w:start w:val="1"/>
      <w:numFmt w:val="bullet"/>
      <w:lvlText w:val=""/>
      <w:lvlJc w:val="left"/>
      <w:pPr>
        <w:tabs>
          <w:tab w:val="num" w:pos="5760"/>
        </w:tabs>
        <w:ind w:left="5760" w:hanging="360"/>
      </w:pPr>
      <w:rPr>
        <w:rFonts w:ascii="Wingdings" w:hAnsi="Wingdings" w:hint="default"/>
      </w:rPr>
    </w:lvl>
    <w:lvl w:ilvl="8" w:tplc="31F4CBA2" w:tentative="1">
      <w:start w:val="1"/>
      <w:numFmt w:val="bullet"/>
      <w:lvlText w:val=""/>
      <w:lvlJc w:val="left"/>
      <w:pPr>
        <w:tabs>
          <w:tab w:val="num" w:pos="6480"/>
        </w:tabs>
        <w:ind w:left="6480" w:hanging="360"/>
      </w:pPr>
      <w:rPr>
        <w:rFonts w:ascii="Wingdings" w:hAnsi="Wingdings" w:hint="default"/>
      </w:rPr>
    </w:lvl>
  </w:abstractNum>
  <w:abstractNum w:abstractNumId="2">
    <w:nsid w:val="1F292C5C"/>
    <w:multiLevelType w:val="hybridMultilevel"/>
    <w:tmpl w:val="00C27C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BA788F"/>
    <w:multiLevelType w:val="hybridMultilevel"/>
    <w:tmpl w:val="96885CCC"/>
    <w:lvl w:ilvl="0" w:tplc="0409000F">
      <w:start w:val="1"/>
      <w:numFmt w:val="decimal"/>
      <w:lvlText w:val="%1."/>
      <w:lvlJc w:val="left"/>
      <w:pPr>
        <w:ind w:left="720" w:hanging="360"/>
      </w:pPr>
    </w:lvl>
    <w:lvl w:ilvl="1" w:tplc="2DFA1F9E">
      <w:start w:val="1695"/>
      <w:numFmt w:val="bullet"/>
      <w:lvlText w:val="–"/>
      <w:lvlJc w:val="left"/>
      <w:pPr>
        <w:ind w:left="1440" w:hanging="360"/>
      </w:pPr>
      <w:rPr>
        <w:rFonts w:ascii="Times New Roman" w:hAnsi="Times New Roman"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DC2308"/>
    <w:multiLevelType w:val="hybridMultilevel"/>
    <w:tmpl w:val="99DE6BEE"/>
    <w:lvl w:ilvl="0" w:tplc="0409000F">
      <w:start w:val="1"/>
      <w:numFmt w:val="decimal"/>
      <w:lvlText w:val="%1."/>
      <w:lvlJc w:val="left"/>
      <w:pPr>
        <w:ind w:left="720" w:hanging="360"/>
      </w:pPr>
    </w:lvl>
    <w:lvl w:ilvl="1" w:tplc="2DFA1F9E">
      <w:start w:val="1695"/>
      <w:numFmt w:val="bullet"/>
      <w:lvlText w:val="–"/>
      <w:lvlJc w:val="left"/>
      <w:pPr>
        <w:ind w:left="1440" w:hanging="360"/>
      </w:pPr>
      <w:rPr>
        <w:rFonts w:ascii="Times New Roman" w:hAnsi="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70C9D"/>
    <w:multiLevelType w:val="multilevel"/>
    <w:tmpl w:val="04F2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5736B6E"/>
    <w:multiLevelType w:val="hybridMultilevel"/>
    <w:tmpl w:val="4086D2CC"/>
    <w:lvl w:ilvl="0" w:tplc="0409000F">
      <w:start w:val="1"/>
      <w:numFmt w:val="decimal"/>
      <w:lvlText w:val="%1."/>
      <w:lvlJc w:val="left"/>
      <w:pPr>
        <w:tabs>
          <w:tab w:val="num" w:pos="720"/>
        </w:tabs>
        <w:ind w:left="720" w:hanging="360"/>
      </w:pPr>
      <w:rPr>
        <w:rFonts w:hint="default"/>
      </w:rPr>
    </w:lvl>
    <w:lvl w:ilvl="1" w:tplc="2DFA1F9E">
      <w:start w:val="1695"/>
      <w:numFmt w:val="bullet"/>
      <w:lvlText w:val="–"/>
      <w:lvlJc w:val="left"/>
      <w:pPr>
        <w:tabs>
          <w:tab w:val="num" w:pos="1440"/>
        </w:tabs>
        <w:ind w:left="1440" w:hanging="360"/>
      </w:pPr>
      <w:rPr>
        <w:rFonts w:ascii="Times New Roman" w:hAnsi="Times New Roman" w:hint="default"/>
      </w:rPr>
    </w:lvl>
    <w:lvl w:ilvl="2" w:tplc="7130B85C" w:tentative="1">
      <w:start w:val="1"/>
      <w:numFmt w:val="bullet"/>
      <w:lvlText w:val=""/>
      <w:lvlJc w:val="left"/>
      <w:pPr>
        <w:tabs>
          <w:tab w:val="num" w:pos="2160"/>
        </w:tabs>
        <w:ind w:left="2160" w:hanging="360"/>
      </w:pPr>
      <w:rPr>
        <w:rFonts w:ascii="Wingdings" w:hAnsi="Wingdings" w:hint="default"/>
      </w:rPr>
    </w:lvl>
    <w:lvl w:ilvl="3" w:tplc="202A76C6" w:tentative="1">
      <w:start w:val="1"/>
      <w:numFmt w:val="bullet"/>
      <w:lvlText w:val=""/>
      <w:lvlJc w:val="left"/>
      <w:pPr>
        <w:tabs>
          <w:tab w:val="num" w:pos="2880"/>
        </w:tabs>
        <w:ind w:left="2880" w:hanging="360"/>
      </w:pPr>
      <w:rPr>
        <w:rFonts w:ascii="Wingdings" w:hAnsi="Wingdings" w:hint="default"/>
      </w:rPr>
    </w:lvl>
    <w:lvl w:ilvl="4" w:tplc="E74C0508" w:tentative="1">
      <w:start w:val="1"/>
      <w:numFmt w:val="bullet"/>
      <w:lvlText w:val=""/>
      <w:lvlJc w:val="left"/>
      <w:pPr>
        <w:tabs>
          <w:tab w:val="num" w:pos="3600"/>
        </w:tabs>
        <w:ind w:left="3600" w:hanging="360"/>
      </w:pPr>
      <w:rPr>
        <w:rFonts w:ascii="Wingdings" w:hAnsi="Wingdings" w:hint="default"/>
      </w:rPr>
    </w:lvl>
    <w:lvl w:ilvl="5" w:tplc="73725390" w:tentative="1">
      <w:start w:val="1"/>
      <w:numFmt w:val="bullet"/>
      <w:lvlText w:val=""/>
      <w:lvlJc w:val="left"/>
      <w:pPr>
        <w:tabs>
          <w:tab w:val="num" w:pos="4320"/>
        </w:tabs>
        <w:ind w:left="4320" w:hanging="360"/>
      </w:pPr>
      <w:rPr>
        <w:rFonts w:ascii="Wingdings" w:hAnsi="Wingdings" w:hint="default"/>
      </w:rPr>
    </w:lvl>
    <w:lvl w:ilvl="6" w:tplc="48405444" w:tentative="1">
      <w:start w:val="1"/>
      <w:numFmt w:val="bullet"/>
      <w:lvlText w:val=""/>
      <w:lvlJc w:val="left"/>
      <w:pPr>
        <w:tabs>
          <w:tab w:val="num" w:pos="5040"/>
        </w:tabs>
        <w:ind w:left="5040" w:hanging="360"/>
      </w:pPr>
      <w:rPr>
        <w:rFonts w:ascii="Wingdings" w:hAnsi="Wingdings" w:hint="default"/>
      </w:rPr>
    </w:lvl>
    <w:lvl w:ilvl="7" w:tplc="30FA6348" w:tentative="1">
      <w:start w:val="1"/>
      <w:numFmt w:val="bullet"/>
      <w:lvlText w:val=""/>
      <w:lvlJc w:val="left"/>
      <w:pPr>
        <w:tabs>
          <w:tab w:val="num" w:pos="5760"/>
        </w:tabs>
        <w:ind w:left="5760" w:hanging="360"/>
      </w:pPr>
      <w:rPr>
        <w:rFonts w:ascii="Wingdings" w:hAnsi="Wingdings" w:hint="default"/>
      </w:rPr>
    </w:lvl>
    <w:lvl w:ilvl="8" w:tplc="31F4CBA2" w:tentative="1">
      <w:start w:val="1"/>
      <w:numFmt w:val="bullet"/>
      <w:lvlText w:val=""/>
      <w:lvlJc w:val="left"/>
      <w:pPr>
        <w:tabs>
          <w:tab w:val="num" w:pos="6480"/>
        </w:tabs>
        <w:ind w:left="6480" w:hanging="360"/>
      </w:pPr>
      <w:rPr>
        <w:rFonts w:ascii="Wingdings" w:hAnsi="Wingdings" w:hint="default"/>
      </w:rPr>
    </w:lvl>
  </w:abstractNum>
  <w:abstractNum w:abstractNumId="7">
    <w:nsid w:val="56181E47"/>
    <w:multiLevelType w:val="hybridMultilevel"/>
    <w:tmpl w:val="82BAA336"/>
    <w:lvl w:ilvl="0" w:tplc="00C00F66">
      <w:start w:val="1"/>
      <w:numFmt w:val="bullet"/>
      <w:lvlText w:val=""/>
      <w:lvlJc w:val="left"/>
      <w:pPr>
        <w:tabs>
          <w:tab w:val="num" w:pos="720"/>
        </w:tabs>
        <w:ind w:left="720" w:hanging="360"/>
      </w:pPr>
      <w:rPr>
        <w:rFonts w:ascii="Wingdings" w:hAnsi="Wingdings" w:hint="default"/>
      </w:rPr>
    </w:lvl>
    <w:lvl w:ilvl="1" w:tplc="10921FC8">
      <w:start w:val="1663"/>
      <w:numFmt w:val="bullet"/>
      <w:lvlText w:val="–"/>
      <w:lvlJc w:val="left"/>
      <w:pPr>
        <w:tabs>
          <w:tab w:val="num" w:pos="1440"/>
        </w:tabs>
        <w:ind w:left="1440" w:hanging="360"/>
      </w:pPr>
      <w:rPr>
        <w:rFonts w:ascii="Times New Roman" w:hAnsi="Times New Roman" w:hint="default"/>
      </w:rPr>
    </w:lvl>
    <w:lvl w:ilvl="2" w:tplc="BC2C6F80" w:tentative="1">
      <w:start w:val="1"/>
      <w:numFmt w:val="bullet"/>
      <w:lvlText w:val=""/>
      <w:lvlJc w:val="left"/>
      <w:pPr>
        <w:tabs>
          <w:tab w:val="num" w:pos="2160"/>
        </w:tabs>
        <w:ind w:left="2160" w:hanging="360"/>
      </w:pPr>
      <w:rPr>
        <w:rFonts w:ascii="Wingdings" w:hAnsi="Wingdings" w:hint="default"/>
      </w:rPr>
    </w:lvl>
    <w:lvl w:ilvl="3" w:tplc="F4227E04" w:tentative="1">
      <w:start w:val="1"/>
      <w:numFmt w:val="bullet"/>
      <w:lvlText w:val=""/>
      <w:lvlJc w:val="left"/>
      <w:pPr>
        <w:tabs>
          <w:tab w:val="num" w:pos="2880"/>
        </w:tabs>
        <w:ind w:left="2880" w:hanging="360"/>
      </w:pPr>
      <w:rPr>
        <w:rFonts w:ascii="Wingdings" w:hAnsi="Wingdings" w:hint="default"/>
      </w:rPr>
    </w:lvl>
    <w:lvl w:ilvl="4" w:tplc="05AE436A" w:tentative="1">
      <w:start w:val="1"/>
      <w:numFmt w:val="bullet"/>
      <w:lvlText w:val=""/>
      <w:lvlJc w:val="left"/>
      <w:pPr>
        <w:tabs>
          <w:tab w:val="num" w:pos="3600"/>
        </w:tabs>
        <w:ind w:left="3600" w:hanging="360"/>
      </w:pPr>
      <w:rPr>
        <w:rFonts w:ascii="Wingdings" w:hAnsi="Wingdings" w:hint="default"/>
      </w:rPr>
    </w:lvl>
    <w:lvl w:ilvl="5" w:tplc="A59259A8" w:tentative="1">
      <w:start w:val="1"/>
      <w:numFmt w:val="bullet"/>
      <w:lvlText w:val=""/>
      <w:lvlJc w:val="left"/>
      <w:pPr>
        <w:tabs>
          <w:tab w:val="num" w:pos="4320"/>
        </w:tabs>
        <w:ind w:left="4320" w:hanging="360"/>
      </w:pPr>
      <w:rPr>
        <w:rFonts w:ascii="Wingdings" w:hAnsi="Wingdings" w:hint="default"/>
      </w:rPr>
    </w:lvl>
    <w:lvl w:ilvl="6" w:tplc="EB7A2434" w:tentative="1">
      <w:start w:val="1"/>
      <w:numFmt w:val="bullet"/>
      <w:lvlText w:val=""/>
      <w:lvlJc w:val="left"/>
      <w:pPr>
        <w:tabs>
          <w:tab w:val="num" w:pos="5040"/>
        </w:tabs>
        <w:ind w:left="5040" w:hanging="360"/>
      </w:pPr>
      <w:rPr>
        <w:rFonts w:ascii="Wingdings" w:hAnsi="Wingdings" w:hint="default"/>
      </w:rPr>
    </w:lvl>
    <w:lvl w:ilvl="7" w:tplc="5A5E3A76" w:tentative="1">
      <w:start w:val="1"/>
      <w:numFmt w:val="bullet"/>
      <w:lvlText w:val=""/>
      <w:lvlJc w:val="left"/>
      <w:pPr>
        <w:tabs>
          <w:tab w:val="num" w:pos="5760"/>
        </w:tabs>
        <w:ind w:left="5760" w:hanging="360"/>
      </w:pPr>
      <w:rPr>
        <w:rFonts w:ascii="Wingdings" w:hAnsi="Wingdings" w:hint="default"/>
      </w:rPr>
    </w:lvl>
    <w:lvl w:ilvl="8" w:tplc="50B81068" w:tentative="1">
      <w:start w:val="1"/>
      <w:numFmt w:val="bullet"/>
      <w:lvlText w:val=""/>
      <w:lvlJc w:val="left"/>
      <w:pPr>
        <w:tabs>
          <w:tab w:val="num" w:pos="6480"/>
        </w:tabs>
        <w:ind w:left="6480" w:hanging="360"/>
      </w:pPr>
      <w:rPr>
        <w:rFonts w:ascii="Wingdings" w:hAnsi="Wingdings" w:hint="default"/>
      </w:rPr>
    </w:lvl>
  </w:abstractNum>
  <w:abstractNum w:abstractNumId="8">
    <w:nsid w:val="5E257EF9"/>
    <w:multiLevelType w:val="hybridMultilevel"/>
    <w:tmpl w:val="4086D2CC"/>
    <w:lvl w:ilvl="0" w:tplc="0409000F">
      <w:start w:val="1"/>
      <w:numFmt w:val="decimal"/>
      <w:lvlText w:val="%1."/>
      <w:lvlJc w:val="left"/>
      <w:pPr>
        <w:tabs>
          <w:tab w:val="num" w:pos="720"/>
        </w:tabs>
        <w:ind w:left="720" w:hanging="360"/>
      </w:pPr>
      <w:rPr>
        <w:rFonts w:hint="default"/>
      </w:rPr>
    </w:lvl>
    <w:lvl w:ilvl="1" w:tplc="2DFA1F9E">
      <w:start w:val="1695"/>
      <w:numFmt w:val="bullet"/>
      <w:lvlText w:val="–"/>
      <w:lvlJc w:val="left"/>
      <w:pPr>
        <w:tabs>
          <w:tab w:val="num" w:pos="1440"/>
        </w:tabs>
        <w:ind w:left="1440" w:hanging="360"/>
      </w:pPr>
      <w:rPr>
        <w:rFonts w:ascii="Times New Roman" w:hAnsi="Times New Roman" w:hint="default"/>
      </w:rPr>
    </w:lvl>
    <w:lvl w:ilvl="2" w:tplc="7130B85C" w:tentative="1">
      <w:start w:val="1"/>
      <w:numFmt w:val="bullet"/>
      <w:lvlText w:val=""/>
      <w:lvlJc w:val="left"/>
      <w:pPr>
        <w:tabs>
          <w:tab w:val="num" w:pos="2160"/>
        </w:tabs>
        <w:ind w:left="2160" w:hanging="360"/>
      </w:pPr>
      <w:rPr>
        <w:rFonts w:ascii="Wingdings" w:hAnsi="Wingdings" w:hint="default"/>
      </w:rPr>
    </w:lvl>
    <w:lvl w:ilvl="3" w:tplc="202A76C6" w:tentative="1">
      <w:start w:val="1"/>
      <w:numFmt w:val="bullet"/>
      <w:lvlText w:val=""/>
      <w:lvlJc w:val="left"/>
      <w:pPr>
        <w:tabs>
          <w:tab w:val="num" w:pos="2880"/>
        </w:tabs>
        <w:ind w:left="2880" w:hanging="360"/>
      </w:pPr>
      <w:rPr>
        <w:rFonts w:ascii="Wingdings" w:hAnsi="Wingdings" w:hint="default"/>
      </w:rPr>
    </w:lvl>
    <w:lvl w:ilvl="4" w:tplc="E74C0508" w:tentative="1">
      <w:start w:val="1"/>
      <w:numFmt w:val="bullet"/>
      <w:lvlText w:val=""/>
      <w:lvlJc w:val="left"/>
      <w:pPr>
        <w:tabs>
          <w:tab w:val="num" w:pos="3600"/>
        </w:tabs>
        <w:ind w:left="3600" w:hanging="360"/>
      </w:pPr>
      <w:rPr>
        <w:rFonts w:ascii="Wingdings" w:hAnsi="Wingdings" w:hint="default"/>
      </w:rPr>
    </w:lvl>
    <w:lvl w:ilvl="5" w:tplc="73725390" w:tentative="1">
      <w:start w:val="1"/>
      <w:numFmt w:val="bullet"/>
      <w:lvlText w:val=""/>
      <w:lvlJc w:val="left"/>
      <w:pPr>
        <w:tabs>
          <w:tab w:val="num" w:pos="4320"/>
        </w:tabs>
        <w:ind w:left="4320" w:hanging="360"/>
      </w:pPr>
      <w:rPr>
        <w:rFonts w:ascii="Wingdings" w:hAnsi="Wingdings" w:hint="default"/>
      </w:rPr>
    </w:lvl>
    <w:lvl w:ilvl="6" w:tplc="48405444" w:tentative="1">
      <w:start w:val="1"/>
      <w:numFmt w:val="bullet"/>
      <w:lvlText w:val=""/>
      <w:lvlJc w:val="left"/>
      <w:pPr>
        <w:tabs>
          <w:tab w:val="num" w:pos="5040"/>
        </w:tabs>
        <w:ind w:left="5040" w:hanging="360"/>
      </w:pPr>
      <w:rPr>
        <w:rFonts w:ascii="Wingdings" w:hAnsi="Wingdings" w:hint="default"/>
      </w:rPr>
    </w:lvl>
    <w:lvl w:ilvl="7" w:tplc="30FA6348" w:tentative="1">
      <w:start w:val="1"/>
      <w:numFmt w:val="bullet"/>
      <w:lvlText w:val=""/>
      <w:lvlJc w:val="left"/>
      <w:pPr>
        <w:tabs>
          <w:tab w:val="num" w:pos="5760"/>
        </w:tabs>
        <w:ind w:left="5760" w:hanging="360"/>
      </w:pPr>
      <w:rPr>
        <w:rFonts w:ascii="Wingdings" w:hAnsi="Wingdings" w:hint="default"/>
      </w:rPr>
    </w:lvl>
    <w:lvl w:ilvl="8" w:tplc="31F4CBA2" w:tentative="1">
      <w:start w:val="1"/>
      <w:numFmt w:val="bullet"/>
      <w:lvlText w:val=""/>
      <w:lvlJc w:val="left"/>
      <w:pPr>
        <w:tabs>
          <w:tab w:val="num" w:pos="6480"/>
        </w:tabs>
        <w:ind w:left="6480" w:hanging="360"/>
      </w:pPr>
      <w:rPr>
        <w:rFonts w:ascii="Wingdings" w:hAnsi="Wingdings" w:hint="default"/>
      </w:rPr>
    </w:lvl>
  </w:abstractNum>
  <w:abstractNum w:abstractNumId="9">
    <w:nsid w:val="710B76D9"/>
    <w:multiLevelType w:val="hybridMultilevel"/>
    <w:tmpl w:val="23944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7"/>
  </w:num>
  <w:num w:numId="5">
    <w:abstractNumId w:val="8"/>
  </w:num>
  <w:num w:numId="6">
    <w:abstractNumId w:val="4"/>
  </w:num>
  <w:num w:numId="7">
    <w:abstractNumId w:val="9"/>
  </w:num>
  <w:num w:numId="8">
    <w:abstractNumId w:val="2"/>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lHgwGxsJYkXJ5M3AihMay93mqg=" w:salt="yO81PWvDGn0NAVhx5vSuZA=="/>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CA0"/>
    <w:rsid w:val="00021724"/>
    <w:rsid w:val="00054CA0"/>
    <w:rsid w:val="00070194"/>
    <w:rsid w:val="00076A88"/>
    <w:rsid w:val="00106B01"/>
    <w:rsid w:val="00111386"/>
    <w:rsid w:val="00124F1A"/>
    <w:rsid w:val="001B0290"/>
    <w:rsid w:val="002A65C7"/>
    <w:rsid w:val="002E4885"/>
    <w:rsid w:val="00320C32"/>
    <w:rsid w:val="00353CE8"/>
    <w:rsid w:val="0035461A"/>
    <w:rsid w:val="0039480F"/>
    <w:rsid w:val="003975F5"/>
    <w:rsid w:val="003B0DB8"/>
    <w:rsid w:val="003D7B6A"/>
    <w:rsid w:val="00405909"/>
    <w:rsid w:val="00443B29"/>
    <w:rsid w:val="00477F5A"/>
    <w:rsid w:val="00530227"/>
    <w:rsid w:val="0053217E"/>
    <w:rsid w:val="005A058D"/>
    <w:rsid w:val="00722919"/>
    <w:rsid w:val="007B03A5"/>
    <w:rsid w:val="007F3F26"/>
    <w:rsid w:val="00880FA7"/>
    <w:rsid w:val="0088439B"/>
    <w:rsid w:val="009145A2"/>
    <w:rsid w:val="00916407"/>
    <w:rsid w:val="00931501"/>
    <w:rsid w:val="009576DB"/>
    <w:rsid w:val="00970972"/>
    <w:rsid w:val="00991136"/>
    <w:rsid w:val="009A37DB"/>
    <w:rsid w:val="009C04E0"/>
    <w:rsid w:val="009C09CB"/>
    <w:rsid w:val="009D4152"/>
    <w:rsid w:val="009D537B"/>
    <w:rsid w:val="00AA6178"/>
    <w:rsid w:val="00AD0A85"/>
    <w:rsid w:val="00AD33B7"/>
    <w:rsid w:val="00B04FE4"/>
    <w:rsid w:val="00B35FB2"/>
    <w:rsid w:val="00B72C44"/>
    <w:rsid w:val="00B744AE"/>
    <w:rsid w:val="00BC69AE"/>
    <w:rsid w:val="00C56FC9"/>
    <w:rsid w:val="00C73187"/>
    <w:rsid w:val="00C76241"/>
    <w:rsid w:val="00C87316"/>
    <w:rsid w:val="00CB7037"/>
    <w:rsid w:val="00CE17C7"/>
    <w:rsid w:val="00CE39F3"/>
    <w:rsid w:val="00CE4462"/>
    <w:rsid w:val="00D049F3"/>
    <w:rsid w:val="00D06B36"/>
    <w:rsid w:val="00D71F7B"/>
    <w:rsid w:val="00DF51DB"/>
    <w:rsid w:val="00EA4D9D"/>
    <w:rsid w:val="00F07F0A"/>
    <w:rsid w:val="00F82C9B"/>
    <w:rsid w:val="00FD4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90"/>
    <w:pPr>
      <w:spacing w:before="100" w:beforeAutospacing="1" w:after="100" w:afterAutospacing="1"/>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A0"/>
    <w:pPr>
      <w:ind w:left="720"/>
      <w:contextualSpacing/>
    </w:pPr>
  </w:style>
  <w:style w:type="character" w:styleId="Hyperlink">
    <w:name w:val="Hyperlink"/>
    <w:uiPriority w:val="99"/>
    <w:unhideWhenUsed/>
    <w:rsid w:val="00054CA0"/>
    <w:rPr>
      <w:color w:val="0000FF"/>
      <w:u w:val="single"/>
    </w:rPr>
  </w:style>
  <w:style w:type="paragraph" w:customStyle="1" w:styleId="Default">
    <w:name w:val="Default"/>
    <w:rsid w:val="00106B0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71F7B"/>
    <w:pPr>
      <w:spacing w:before="0" w:after="0"/>
    </w:pPr>
    <w:rPr>
      <w:rFonts w:ascii="Tahoma" w:hAnsi="Tahoma" w:cs="Tahoma"/>
      <w:sz w:val="16"/>
      <w:szCs w:val="16"/>
    </w:rPr>
  </w:style>
  <w:style w:type="character" w:customStyle="1" w:styleId="BalloonTextChar">
    <w:name w:val="Balloon Text Char"/>
    <w:link w:val="BalloonText"/>
    <w:uiPriority w:val="99"/>
    <w:semiHidden/>
    <w:rsid w:val="00D71F7B"/>
    <w:rPr>
      <w:rFonts w:ascii="Tahoma" w:hAnsi="Tahoma" w:cs="Tahoma"/>
      <w:sz w:val="16"/>
      <w:szCs w:val="16"/>
    </w:rPr>
  </w:style>
  <w:style w:type="character" w:styleId="FollowedHyperlink">
    <w:name w:val="FollowedHyperlink"/>
    <w:basedOn w:val="DefaultParagraphFont"/>
    <w:uiPriority w:val="99"/>
    <w:semiHidden/>
    <w:unhideWhenUsed/>
    <w:rsid w:val="009164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290"/>
    <w:pPr>
      <w:spacing w:before="100" w:beforeAutospacing="1" w:after="100" w:afterAutospacing="1"/>
      <w:ind w:left="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4CA0"/>
    <w:pPr>
      <w:ind w:left="720"/>
      <w:contextualSpacing/>
    </w:pPr>
  </w:style>
  <w:style w:type="character" w:styleId="Hyperlink">
    <w:name w:val="Hyperlink"/>
    <w:uiPriority w:val="99"/>
    <w:unhideWhenUsed/>
    <w:rsid w:val="00054CA0"/>
    <w:rPr>
      <w:color w:val="0000FF"/>
      <w:u w:val="single"/>
    </w:rPr>
  </w:style>
  <w:style w:type="paragraph" w:customStyle="1" w:styleId="Default">
    <w:name w:val="Default"/>
    <w:rsid w:val="00106B01"/>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71F7B"/>
    <w:pPr>
      <w:spacing w:before="0" w:after="0"/>
    </w:pPr>
    <w:rPr>
      <w:rFonts w:ascii="Tahoma" w:hAnsi="Tahoma" w:cs="Tahoma"/>
      <w:sz w:val="16"/>
      <w:szCs w:val="16"/>
    </w:rPr>
  </w:style>
  <w:style w:type="character" w:customStyle="1" w:styleId="BalloonTextChar">
    <w:name w:val="Balloon Text Char"/>
    <w:link w:val="BalloonText"/>
    <w:uiPriority w:val="99"/>
    <w:semiHidden/>
    <w:rsid w:val="00D71F7B"/>
    <w:rPr>
      <w:rFonts w:ascii="Tahoma" w:hAnsi="Tahoma" w:cs="Tahoma"/>
      <w:sz w:val="16"/>
      <w:szCs w:val="16"/>
    </w:rPr>
  </w:style>
  <w:style w:type="character" w:styleId="FollowedHyperlink">
    <w:name w:val="FollowedHyperlink"/>
    <w:basedOn w:val="DefaultParagraphFont"/>
    <w:uiPriority w:val="99"/>
    <w:semiHidden/>
    <w:unhideWhenUsed/>
    <w:rsid w:val="00916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527029">
      <w:bodyDiv w:val="1"/>
      <w:marLeft w:val="0"/>
      <w:marRight w:val="0"/>
      <w:marTop w:val="0"/>
      <w:marBottom w:val="0"/>
      <w:divBdr>
        <w:top w:val="none" w:sz="0" w:space="0" w:color="auto"/>
        <w:left w:val="none" w:sz="0" w:space="0" w:color="auto"/>
        <w:bottom w:val="none" w:sz="0" w:space="0" w:color="auto"/>
        <w:right w:val="none" w:sz="0" w:space="0" w:color="auto"/>
      </w:divBdr>
      <w:divsChild>
        <w:div w:id="50888132">
          <w:marLeft w:val="1037"/>
          <w:marRight w:val="0"/>
          <w:marTop w:val="72"/>
          <w:marBottom w:val="0"/>
          <w:divBdr>
            <w:top w:val="none" w:sz="0" w:space="0" w:color="auto"/>
            <w:left w:val="none" w:sz="0" w:space="0" w:color="auto"/>
            <w:bottom w:val="none" w:sz="0" w:space="0" w:color="auto"/>
            <w:right w:val="none" w:sz="0" w:space="0" w:color="auto"/>
          </w:divBdr>
        </w:div>
        <w:div w:id="140774637">
          <w:marLeft w:val="1037"/>
          <w:marRight w:val="0"/>
          <w:marTop w:val="72"/>
          <w:marBottom w:val="0"/>
          <w:divBdr>
            <w:top w:val="none" w:sz="0" w:space="0" w:color="auto"/>
            <w:left w:val="none" w:sz="0" w:space="0" w:color="auto"/>
            <w:bottom w:val="none" w:sz="0" w:space="0" w:color="auto"/>
            <w:right w:val="none" w:sz="0" w:space="0" w:color="auto"/>
          </w:divBdr>
        </w:div>
        <w:div w:id="161119948">
          <w:marLeft w:val="1037"/>
          <w:marRight w:val="0"/>
          <w:marTop w:val="72"/>
          <w:marBottom w:val="0"/>
          <w:divBdr>
            <w:top w:val="none" w:sz="0" w:space="0" w:color="auto"/>
            <w:left w:val="none" w:sz="0" w:space="0" w:color="auto"/>
            <w:bottom w:val="none" w:sz="0" w:space="0" w:color="auto"/>
            <w:right w:val="none" w:sz="0" w:space="0" w:color="auto"/>
          </w:divBdr>
        </w:div>
        <w:div w:id="1129473121">
          <w:marLeft w:val="1037"/>
          <w:marRight w:val="0"/>
          <w:marTop w:val="72"/>
          <w:marBottom w:val="0"/>
          <w:divBdr>
            <w:top w:val="none" w:sz="0" w:space="0" w:color="auto"/>
            <w:left w:val="none" w:sz="0" w:space="0" w:color="auto"/>
            <w:bottom w:val="none" w:sz="0" w:space="0" w:color="auto"/>
            <w:right w:val="none" w:sz="0" w:space="0" w:color="auto"/>
          </w:divBdr>
        </w:div>
        <w:div w:id="1134907279">
          <w:marLeft w:val="446"/>
          <w:marRight w:val="0"/>
          <w:marTop w:val="144"/>
          <w:marBottom w:val="0"/>
          <w:divBdr>
            <w:top w:val="none" w:sz="0" w:space="0" w:color="auto"/>
            <w:left w:val="none" w:sz="0" w:space="0" w:color="auto"/>
            <w:bottom w:val="none" w:sz="0" w:space="0" w:color="auto"/>
            <w:right w:val="none" w:sz="0" w:space="0" w:color="auto"/>
          </w:divBdr>
        </w:div>
        <w:div w:id="1223711383">
          <w:marLeft w:val="1037"/>
          <w:marRight w:val="0"/>
          <w:marTop w:val="72"/>
          <w:marBottom w:val="0"/>
          <w:divBdr>
            <w:top w:val="none" w:sz="0" w:space="0" w:color="auto"/>
            <w:left w:val="none" w:sz="0" w:space="0" w:color="auto"/>
            <w:bottom w:val="none" w:sz="0" w:space="0" w:color="auto"/>
            <w:right w:val="none" w:sz="0" w:space="0" w:color="auto"/>
          </w:divBdr>
        </w:div>
        <w:div w:id="1357345098">
          <w:marLeft w:val="446"/>
          <w:marRight w:val="0"/>
          <w:marTop w:val="144"/>
          <w:marBottom w:val="0"/>
          <w:divBdr>
            <w:top w:val="none" w:sz="0" w:space="0" w:color="auto"/>
            <w:left w:val="none" w:sz="0" w:space="0" w:color="auto"/>
            <w:bottom w:val="none" w:sz="0" w:space="0" w:color="auto"/>
            <w:right w:val="none" w:sz="0" w:space="0" w:color="auto"/>
          </w:divBdr>
        </w:div>
        <w:div w:id="1509635946">
          <w:marLeft w:val="1037"/>
          <w:marRight w:val="0"/>
          <w:marTop w:val="72"/>
          <w:marBottom w:val="0"/>
          <w:divBdr>
            <w:top w:val="none" w:sz="0" w:space="0" w:color="auto"/>
            <w:left w:val="none" w:sz="0" w:space="0" w:color="auto"/>
            <w:bottom w:val="none" w:sz="0" w:space="0" w:color="auto"/>
            <w:right w:val="none" w:sz="0" w:space="0" w:color="auto"/>
          </w:divBdr>
        </w:div>
        <w:div w:id="1683167603">
          <w:marLeft w:val="1037"/>
          <w:marRight w:val="0"/>
          <w:marTop w:val="72"/>
          <w:marBottom w:val="0"/>
          <w:divBdr>
            <w:top w:val="none" w:sz="0" w:space="0" w:color="auto"/>
            <w:left w:val="none" w:sz="0" w:space="0" w:color="auto"/>
            <w:bottom w:val="none" w:sz="0" w:space="0" w:color="auto"/>
            <w:right w:val="none" w:sz="0" w:space="0" w:color="auto"/>
          </w:divBdr>
        </w:div>
        <w:div w:id="1827933800">
          <w:marLeft w:val="446"/>
          <w:marRight w:val="0"/>
          <w:marTop w:val="144"/>
          <w:marBottom w:val="0"/>
          <w:divBdr>
            <w:top w:val="none" w:sz="0" w:space="0" w:color="auto"/>
            <w:left w:val="none" w:sz="0" w:space="0" w:color="auto"/>
            <w:bottom w:val="none" w:sz="0" w:space="0" w:color="auto"/>
            <w:right w:val="none" w:sz="0" w:space="0" w:color="auto"/>
          </w:divBdr>
        </w:div>
        <w:div w:id="1984770866">
          <w:marLeft w:val="1037"/>
          <w:marRight w:val="0"/>
          <w:marTop w:val="72"/>
          <w:marBottom w:val="0"/>
          <w:divBdr>
            <w:top w:val="none" w:sz="0" w:space="0" w:color="auto"/>
            <w:left w:val="none" w:sz="0" w:space="0" w:color="auto"/>
            <w:bottom w:val="none" w:sz="0" w:space="0" w:color="auto"/>
            <w:right w:val="none" w:sz="0" w:space="0" w:color="auto"/>
          </w:divBdr>
        </w:div>
        <w:div w:id="1991518537">
          <w:marLeft w:val="1037"/>
          <w:marRight w:val="0"/>
          <w:marTop w:val="72"/>
          <w:marBottom w:val="0"/>
          <w:divBdr>
            <w:top w:val="none" w:sz="0" w:space="0" w:color="auto"/>
            <w:left w:val="none" w:sz="0" w:space="0" w:color="auto"/>
            <w:bottom w:val="none" w:sz="0" w:space="0" w:color="auto"/>
            <w:right w:val="none" w:sz="0" w:space="0" w:color="auto"/>
          </w:divBdr>
        </w:div>
        <w:div w:id="2014142292">
          <w:marLeft w:val="1037"/>
          <w:marRight w:val="0"/>
          <w:marTop w:val="72"/>
          <w:marBottom w:val="0"/>
          <w:divBdr>
            <w:top w:val="none" w:sz="0" w:space="0" w:color="auto"/>
            <w:left w:val="none" w:sz="0" w:space="0" w:color="auto"/>
            <w:bottom w:val="none" w:sz="0" w:space="0" w:color="auto"/>
            <w:right w:val="none" w:sz="0" w:space="0" w:color="auto"/>
          </w:divBdr>
        </w:div>
        <w:div w:id="2027824340">
          <w:marLeft w:val="1037"/>
          <w:marRight w:val="0"/>
          <w:marTop w:val="72"/>
          <w:marBottom w:val="0"/>
          <w:divBdr>
            <w:top w:val="none" w:sz="0" w:space="0" w:color="auto"/>
            <w:left w:val="none" w:sz="0" w:space="0" w:color="auto"/>
            <w:bottom w:val="none" w:sz="0" w:space="0" w:color="auto"/>
            <w:right w:val="none" w:sz="0" w:space="0" w:color="auto"/>
          </w:divBdr>
        </w:div>
      </w:divsChild>
    </w:div>
    <w:div w:id="869876613">
      <w:bodyDiv w:val="1"/>
      <w:marLeft w:val="0"/>
      <w:marRight w:val="0"/>
      <w:marTop w:val="0"/>
      <w:marBottom w:val="0"/>
      <w:divBdr>
        <w:top w:val="none" w:sz="0" w:space="0" w:color="auto"/>
        <w:left w:val="none" w:sz="0" w:space="0" w:color="auto"/>
        <w:bottom w:val="none" w:sz="0" w:space="0" w:color="auto"/>
        <w:right w:val="none" w:sz="0" w:space="0" w:color="auto"/>
      </w:divBdr>
      <w:divsChild>
        <w:div w:id="183522196">
          <w:marLeft w:val="1037"/>
          <w:marRight w:val="0"/>
          <w:marTop w:val="72"/>
          <w:marBottom w:val="0"/>
          <w:divBdr>
            <w:top w:val="none" w:sz="0" w:space="0" w:color="auto"/>
            <w:left w:val="none" w:sz="0" w:space="0" w:color="auto"/>
            <w:bottom w:val="none" w:sz="0" w:space="0" w:color="auto"/>
            <w:right w:val="none" w:sz="0" w:space="0" w:color="auto"/>
          </w:divBdr>
        </w:div>
        <w:div w:id="311719869">
          <w:marLeft w:val="446"/>
          <w:marRight w:val="0"/>
          <w:marTop w:val="144"/>
          <w:marBottom w:val="0"/>
          <w:divBdr>
            <w:top w:val="none" w:sz="0" w:space="0" w:color="auto"/>
            <w:left w:val="none" w:sz="0" w:space="0" w:color="auto"/>
            <w:bottom w:val="none" w:sz="0" w:space="0" w:color="auto"/>
            <w:right w:val="none" w:sz="0" w:space="0" w:color="auto"/>
          </w:divBdr>
        </w:div>
        <w:div w:id="324944907">
          <w:marLeft w:val="1037"/>
          <w:marRight w:val="0"/>
          <w:marTop w:val="72"/>
          <w:marBottom w:val="0"/>
          <w:divBdr>
            <w:top w:val="none" w:sz="0" w:space="0" w:color="auto"/>
            <w:left w:val="none" w:sz="0" w:space="0" w:color="auto"/>
            <w:bottom w:val="none" w:sz="0" w:space="0" w:color="auto"/>
            <w:right w:val="none" w:sz="0" w:space="0" w:color="auto"/>
          </w:divBdr>
        </w:div>
        <w:div w:id="730464463">
          <w:marLeft w:val="1037"/>
          <w:marRight w:val="0"/>
          <w:marTop w:val="72"/>
          <w:marBottom w:val="0"/>
          <w:divBdr>
            <w:top w:val="none" w:sz="0" w:space="0" w:color="auto"/>
            <w:left w:val="none" w:sz="0" w:space="0" w:color="auto"/>
            <w:bottom w:val="none" w:sz="0" w:space="0" w:color="auto"/>
            <w:right w:val="none" w:sz="0" w:space="0" w:color="auto"/>
          </w:divBdr>
        </w:div>
        <w:div w:id="1020207253">
          <w:marLeft w:val="1037"/>
          <w:marRight w:val="0"/>
          <w:marTop w:val="72"/>
          <w:marBottom w:val="0"/>
          <w:divBdr>
            <w:top w:val="none" w:sz="0" w:space="0" w:color="auto"/>
            <w:left w:val="none" w:sz="0" w:space="0" w:color="auto"/>
            <w:bottom w:val="none" w:sz="0" w:space="0" w:color="auto"/>
            <w:right w:val="none" w:sz="0" w:space="0" w:color="auto"/>
          </w:divBdr>
        </w:div>
        <w:div w:id="1149664217">
          <w:marLeft w:val="446"/>
          <w:marRight w:val="0"/>
          <w:marTop w:val="144"/>
          <w:marBottom w:val="0"/>
          <w:divBdr>
            <w:top w:val="none" w:sz="0" w:space="0" w:color="auto"/>
            <w:left w:val="none" w:sz="0" w:space="0" w:color="auto"/>
            <w:bottom w:val="none" w:sz="0" w:space="0" w:color="auto"/>
            <w:right w:val="none" w:sz="0" w:space="0" w:color="auto"/>
          </w:divBdr>
        </w:div>
        <w:div w:id="1211455345">
          <w:marLeft w:val="446"/>
          <w:marRight w:val="0"/>
          <w:marTop w:val="144"/>
          <w:marBottom w:val="0"/>
          <w:divBdr>
            <w:top w:val="none" w:sz="0" w:space="0" w:color="auto"/>
            <w:left w:val="none" w:sz="0" w:space="0" w:color="auto"/>
            <w:bottom w:val="none" w:sz="0" w:space="0" w:color="auto"/>
            <w:right w:val="none" w:sz="0" w:space="0" w:color="auto"/>
          </w:divBdr>
        </w:div>
        <w:div w:id="1551650939">
          <w:marLeft w:val="1037"/>
          <w:marRight w:val="0"/>
          <w:marTop w:val="72"/>
          <w:marBottom w:val="0"/>
          <w:divBdr>
            <w:top w:val="none" w:sz="0" w:space="0" w:color="auto"/>
            <w:left w:val="none" w:sz="0" w:space="0" w:color="auto"/>
            <w:bottom w:val="none" w:sz="0" w:space="0" w:color="auto"/>
            <w:right w:val="none" w:sz="0" w:space="0" w:color="auto"/>
          </w:divBdr>
        </w:div>
        <w:div w:id="1713722238">
          <w:marLeft w:val="446"/>
          <w:marRight w:val="0"/>
          <w:marTop w:val="144"/>
          <w:marBottom w:val="0"/>
          <w:divBdr>
            <w:top w:val="none" w:sz="0" w:space="0" w:color="auto"/>
            <w:left w:val="none" w:sz="0" w:space="0" w:color="auto"/>
            <w:bottom w:val="none" w:sz="0" w:space="0" w:color="auto"/>
            <w:right w:val="none" w:sz="0" w:space="0" w:color="auto"/>
          </w:divBdr>
        </w:div>
        <w:div w:id="1785340827">
          <w:marLeft w:val="1037"/>
          <w:marRight w:val="0"/>
          <w:marTop w:val="72"/>
          <w:marBottom w:val="0"/>
          <w:divBdr>
            <w:top w:val="none" w:sz="0" w:space="0" w:color="auto"/>
            <w:left w:val="none" w:sz="0" w:space="0" w:color="auto"/>
            <w:bottom w:val="none" w:sz="0" w:space="0" w:color="auto"/>
            <w:right w:val="none" w:sz="0" w:space="0" w:color="auto"/>
          </w:divBdr>
        </w:div>
        <w:div w:id="1929195498">
          <w:marLeft w:val="1037"/>
          <w:marRight w:val="0"/>
          <w:marTop w:val="72"/>
          <w:marBottom w:val="0"/>
          <w:divBdr>
            <w:top w:val="none" w:sz="0" w:space="0" w:color="auto"/>
            <w:left w:val="none" w:sz="0" w:space="0" w:color="auto"/>
            <w:bottom w:val="none" w:sz="0" w:space="0" w:color="auto"/>
            <w:right w:val="none" w:sz="0" w:space="0" w:color="auto"/>
          </w:divBdr>
        </w:div>
        <w:div w:id="2014405608">
          <w:marLeft w:val="1037"/>
          <w:marRight w:val="0"/>
          <w:marTop w:val="72"/>
          <w:marBottom w:val="0"/>
          <w:divBdr>
            <w:top w:val="none" w:sz="0" w:space="0" w:color="auto"/>
            <w:left w:val="none" w:sz="0" w:space="0" w:color="auto"/>
            <w:bottom w:val="none" w:sz="0" w:space="0" w:color="auto"/>
            <w:right w:val="none" w:sz="0" w:space="0" w:color="auto"/>
          </w:divBdr>
        </w:div>
        <w:div w:id="2036417005">
          <w:marLeft w:val="1037"/>
          <w:marRight w:val="0"/>
          <w:marTop w:val="72"/>
          <w:marBottom w:val="0"/>
          <w:divBdr>
            <w:top w:val="none" w:sz="0" w:space="0" w:color="auto"/>
            <w:left w:val="none" w:sz="0" w:space="0" w:color="auto"/>
            <w:bottom w:val="none" w:sz="0" w:space="0" w:color="auto"/>
            <w:right w:val="none" w:sz="0" w:space="0" w:color="auto"/>
          </w:divBdr>
        </w:div>
      </w:divsChild>
    </w:div>
    <w:div w:id="2002585896">
      <w:bodyDiv w:val="1"/>
      <w:marLeft w:val="0"/>
      <w:marRight w:val="0"/>
      <w:marTop w:val="0"/>
      <w:marBottom w:val="0"/>
      <w:divBdr>
        <w:top w:val="none" w:sz="0" w:space="0" w:color="auto"/>
        <w:left w:val="none" w:sz="0" w:space="0" w:color="auto"/>
        <w:bottom w:val="none" w:sz="0" w:space="0" w:color="auto"/>
        <w:right w:val="none" w:sz="0" w:space="0" w:color="auto"/>
      </w:divBdr>
      <w:divsChild>
        <w:div w:id="1036202861">
          <w:marLeft w:val="0"/>
          <w:marRight w:val="0"/>
          <w:marTop w:val="0"/>
          <w:marBottom w:val="0"/>
          <w:divBdr>
            <w:top w:val="none" w:sz="0" w:space="0" w:color="auto"/>
            <w:left w:val="none" w:sz="0" w:space="0" w:color="auto"/>
            <w:bottom w:val="none" w:sz="0" w:space="0" w:color="auto"/>
            <w:right w:val="none" w:sz="0" w:space="0" w:color="auto"/>
          </w:divBdr>
          <w:divsChild>
            <w:div w:id="1515418760">
              <w:marLeft w:val="0"/>
              <w:marRight w:val="0"/>
              <w:marTop w:val="0"/>
              <w:marBottom w:val="0"/>
              <w:divBdr>
                <w:top w:val="none" w:sz="0" w:space="0" w:color="auto"/>
                <w:left w:val="none" w:sz="0" w:space="0" w:color="auto"/>
                <w:bottom w:val="none" w:sz="0" w:space="0" w:color="auto"/>
                <w:right w:val="none" w:sz="0" w:space="0" w:color="auto"/>
              </w:divBdr>
              <w:divsChild>
                <w:div w:id="2098598295">
                  <w:marLeft w:val="0"/>
                  <w:marRight w:val="0"/>
                  <w:marTop w:val="0"/>
                  <w:marBottom w:val="0"/>
                  <w:divBdr>
                    <w:top w:val="none" w:sz="0" w:space="0" w:color="auto"/>
                    <w:left w:val="none" w:sz="0" w:space="0" w:color="auto"/>
                    <w:bottom w:val="none" w:sz="0" w:space="0" w:color="auto"/>
                    <w:right w:val="none" w:sz="0" w:space="0" w:color="auto"/>
                  </w:divBdr>
                  <w:divsChild>
                    <w:div w:id="1910651458">
                      <w:marLeft w:val="0"/>
                      <w:marRight w:val="0"/>
                      <w:marTop w:val="0"/>
                      <w:marBottom w:val="0"/>
                      <w:divBdr>
                        <w:top w:val="none" w:sz="0" w:space="0" w:color="auto"/>
                        <w:left w:val="none" w:sz="0" w:space="0" w:color="auto"/>
                        <w:bottom w:val="none" w:sz="0" w:space="0" w:color="auto"/>
                        <w:right w:val="none" w:sz="0" w:space="0" w:color="auto"/>
                      </w:divBdr>
                      <w:divsChild>
                        <w:div w:id="865682620">
                          <w:marLeft w:val="0"/>
                          <w:marRight w:val="0"/>
                          <w:marTop w:val="0"/>
                          <w:marBottom w:val="0"/>
                          <w:divBdr>
                            <w:top w:val="none" w:sz="0" w:space="0" w:color="auto"/>
                            <w:left w:val="none" w:sz="0" w:space="0" w:color="auto"/>
                            <w:bottom w:val="none" w:sz="0" w:space="0" w:color="auto"/>
                            <w:right w:val="none" w:sz="0" w:space="0" w:color="auto"/>
                          </w:divBdr>
                          <w:divsChild>
                            <w:div w:id="870217924">
                              <w:marLeft w:val="0"/>
                              <w:marRight w:val="0"/>
                              <w:marTop w:val="0"/>
                              <w:marBottom w:val="0"/>
                              <w:divBdr>
                                <w:top w:val="none" w:sz="0" w:space="0" w:color="auto"/>
                                <w:left w:val="none" w:sz="0" w:space="0" w:color="auto"/>
                                <w:bottom w:val="none" w:sz="0" w:space="0" w:color="auto"/>
                                <w:right w:val="none" w:sz="0" w:space="0" w:color="auto"/>
                              </w:divBdr>
                              <w:divsChild>
                                <w:div w:id="106013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anual.nmsu.edu/" TargetMode="External"/><Relationship Id="rId3" Type="http://schemas.microsoft.com/office/2007/relationships/stylesWithEffects" Target="stylesWithEffects.xml"/><Relationship Id="rId7" Type="http://schemas.openxmlformats.org/officeDocument/2006/relationships/hyperlink" Target="http://hr.nmsu.edu/wp-content/uploads/2013/04/R_I_AFSCME_Agreement_w_NMSU.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nmsu.edu/wp-content/uploads/2013/04/E_I_Managers_Guide_to_Qualifying_Applicants.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575</Words>
  <Characters>3284</Characters>
  <Application>Microsoft Office Word</Application>
  <DocSecurity>12</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NMSU</Company>
  <LinksUpToDate>false</LinksUpToDate>
  <CharactersWithSpaces>3852</CharactersWithSpaces>
  <SharedDoc>false</SharedDoc>
  <HLinks>
    <vt:vector size="18" baseType="variant">
      <vt:variant>
        <vt:i4>131152</vt:i4>
      </vt:variant>
      <vt:variant>
        <vt:i4>6</vt:i4>
      </vt:variant>
      <vt:variant>
        <vt:i4>0</vt:i4>
      </vt:variant>
      <vt:variant>
        <vt:i4>5</vt:i4>
      </vt:variant>
      <vt:variant>
        <vt:lpwstr>http://nmsu.edu/manual/current-nmsu-policies.html</vt:lpwstr>
      </vt:variant>
      <vt:variant>
        <vt:lpwstr/>
      </vt:variant>
      <vt:variant>
        <vt:i4>655406</vt:i4>
      </vt:variant>
      <vt:variant>
        <vt:i4>3</vt:i4>
      </vt:variant>
      <vt:variant>
        <vt:i4>0</vt:i4>
      </vt:variant>
      <vt:variant>
        <vt:i4>5</vt:i4>
      </vt:variant>
      <vt:variant>
        <vt:lpwstr>http://hr.nmsu.edu/wp-content/uploads/2013/04/R_I_AFSCME_Agreement_w_NMSU.pdf</vt:lpwstr>
      </vt:variant>
      <vt:variant>
        <vt:lpwstr/>
      </vt:variant>
      <vt:variant>
        <vt:i4>2490415</vt:i4>
      </vt:variant>
      <vt:variant>
        <vt:i4>0</vt:i4>
      </vt:variant>
      <vt:variant>
        <vt:i4>0</vt:i4>
      </vt:variant>
      <vt:variant>
        <vt:i4>5</vt:i4>
      </vt:variant>
      <vt:variant>
        <vt:lpwstr>http://hr.nmsu.edu/wp-content/uploads/2013/04/E_I_Managers_Guide_to_Qualifying_Applicants.doc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kagnew</dc:creator>
  <cp:lastModifiedBy>Amber M Gabaldon</cp:lastModifiedBy>
  <cp:revision>2</cp:revision>
  <cp:lastPrinted>2012-07-25T15:26:00Z</cp:lastPrinted>
  <dcterms:created xsi:type="dcterms:W3CDTF">2015-03-27T15:22:00Z</dcterms:created>
  <dcterms:modified xsi:type="dcterms:W3CDTF">2015-03-27T15:22:00Z</dcterms:modified>
</cp:coreProperties>
</file>