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75"/>
        <w:gridCol w:w="1443"/>
        <w:gridCol w:w="1617"/>
        <w:gridCol w:w="1890"/>
        <w:gridCol w:w="1350"/>
        <w:gridCol w:w="9360"/>
      </w:tblGrid>
      <w:tr w:rsidR="00300D23" w:rsidRPr="00BD4E95" w:rsidTr="005C7947">
        <w:trPr>
          <w:trHeight w:val="1035"/>
        </w:trPr>
        <w:tc>
          <w:tcPr>
            <w:tcW w:w="3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632523"/>
            <w:vAlign w:val="bottom"/>
            <w:hideMark/>
          </w:tcPr>
          <w:p w:rsidR="00BD4E95" w:rsidRPr="00BD4E95" w:rsidRDefault="0076590C" w:rsidP="00765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Internal</w:t>
            </w:r>
            <w:r w:rsidR="00BD4E95"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Hire Tasks                                   </w:t>
            </w:r>
            <w:r w:rsidR="00BD4E95" w:rsidRPr="00BD4E95">
              <w:rPr>
                <w:rFonts w:ascii="Calibri" w:eastAsia="Times New Roman" w:hAnsi="Calibri" w:cs="Times New Roman"/>
                <w:b/>
                <w:bCs/>
                <w:color w:val="FFFFFF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14 total</w:t>
            </w:r>
            <w:r w:rsidR="00BD4E95" w:rsidRPr="00BD4E9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possible)</w:t>
            </w:r>
          </w:p>
        </w:tc>
        <w:tc>
          <w:tcPr>
            <w:tcW w:w="14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32523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Task Location</w:t>
            </w:r>
          </w:p>
        </w:tc>
        <w:tc>
          <w:tcPr>
            <w:tcW w:w="16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32523"/>
            <w:vAlign w:val="bottom"/>
            <w:hideMark/>
          </w:tcPr>
          <w:p w:rsidR="00BD4E95" w:rsidRPr="00BD4E95" w:rsidRDefault="00BD4E95" w:rsidP="00300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Task Available/ Email Sent                </w:t>
            </w:r>
            <w:r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(Ideal dates </w:t>
            </w:r>
            <w:r w:rsidR="00A43936" w:rsidRPr="00300D2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shown but </w:t>
            </w:r>
            <w:r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HRS </w:t>
            </w:r>
            <w:r w:rsidR="00A43936" w:rsidRPr="00300D2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&amp;</w:t>
            </w:r>
            <w:r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 xml:space="preserve"> dept. may adjust according</w:t>
            </w:r>
            <w:r w:rsidR="00A43936" w:rsidRPr="00300D2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ly</w:t>
            </w:r>
            <w:r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32523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Task to be completed:</w:t>
            </w:r>
          </w:p>
        </w:tc>
        <w:tc>
          <w:tcPr>
            <w:tcW w:w="13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32523"/>
            <w:vAlign w:val="bottom"/>
            <w:hideMark/>
          </w:tcPr>
          <w:p w:rsidR="00BD4E95" w:rsidRPr="00BD4E95" w:rsidRDefault="00300D23" w:rsidP="00300D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Owner</w:t>
            </w:r>
            <w:r w:rsidR="00BD4E95"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/Email Recipient</w:t>
            </w:r>
          </w:p>
        </w:tc>
        <w:tc>
          <w:tcPr>
            <w:tcW w:w="93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32523"/>
            <w:vAlign w:val="bottom"/>
            <w:hideMark/>
          </w:tcPr>
          <w:p w:rsidR="00BD4E95" w:rsidRPr="00BD4E95" w:rsidRDefault="005128A8" w:rsidP="005128A8">
            <w:pPr>
              <w:tabs>
                <w:tab w:val="left" w:pos="127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Summary of task d</w:t>
            </w:r>
            <w:r w:rsidR="00BD4E95" w:rsidRPr="00BD4E9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etails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0CAC">
              <w:rPr>
                <w:rFonts w:eastAsia="Times New Roman" w:cs="Times New Roman"/>
                <w:color w:val="000000"/>
                <w:sz w:val="20"/>
                <w:szCs w:val="20"/>
              </w:rPr>
              <w:t>Hiring Completion Tasks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PA (Form)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C625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several days prior to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C625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prior to employee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HR Services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Background check info, degrees entered, faculty data entered, file created and posting transitioned to filled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Department Welcome Steps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 days prior to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prior to employee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Hiring Department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Suggested employee welcome call </w:t>
            </w:r>
            <w:r w:rsidR="009428A8"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(confirm acceptance, provide contact info, parking permit and ID card, notify about welcome letter) </w:t>
            </w: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and internal preparation recommendations for department</w:t>
            </w:r>
            <w:r w:rsidR="009428A8"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(announce arrival, office prep, phone, business cards, computer equipment setup, network</w:t>
            </w:r>
            <w:r w:rsidR="00C24E3B">
              <w:rPr>
                <w:rFonts w:eastAsia="Times New Roman" w:cs="Times New Roman"/>
                <w:color w:val="000000"/>
                <w:sz w:val="20"/>
                <w:szCs w:val="20"/>
              </w:rPr>
              <w:t>/systems</w:t>
            </w:r>
            <w:r w:rsidR="009428A8"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access, door key request)</w:t>
            </w:r>
          </w:p>
        </w:tc>
      </w:tr>
      <w:tr w:rsidR="00300D23" w:rsidRPr="00BD4E95" w:rsidTr="00C24E3B">
        <w:trPr>
          <w:trHeight w:val="638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NMSU Welcome Letter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 days prior to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on or prior to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C24E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Employee </w:t>
            </w:r>
            <w:r w:rsidR="009428A8"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welcome from President, </w:t>
            </w: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campus access info (map, Aggie ID, parking permit), hiring policies, onboarding process login.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60CAC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0CAC">
              <w:rPr>
                <w:rFonts w:eastAsia="Times New Roman" w:cs="Times New Roman"/>
                <w:color w:val="000000"/>
                <w:sz w:val="20"/>
                <w:szCs w:val="20"/>
              </w:rPr>
              <w:t>MyNMSU</w:t>
            </w:r>
            <w:proofErr w:type="spellEnd"/>
            <w:r w:rsidRPr="00B60C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Account Verification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PA (Simple)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days post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days post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HR Services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HRS verifies if </w:t>
            </w:r>
            <w:proofErr w:type="spellStart"/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MyNMSU</w:t>
            </w:r>
            <w:proofErr w:type="spellEnd"/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account is setup. If not, contact employee and provide assistance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60CAC" w:rsidRDefault="00BD4E95" w:rsidP="00300D2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0C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Establish PA </w:t>
            </w:r>
            <w:proofErr w:type="spellStart"/>
            <w:r w:rsidRPr="00B60CAC">
              <w:rPr>
                <w:rFonts w:eastAsia="Times New Roman" w:cs="Times New Roman"/>
                <w:color w:val="000000"/>
                <w:sz w:val="20"/>
                <w:szCs w:val="20"/>
              </w:rPr>
              <w:t>Empl</w:t>
            </w:r>
            <w:proofErr w:type="spellEnd"/>
            <w:r w:rsidR="00300D23" w:rsidRPr="00B60CAC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B60C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Se</w:t>
            </w:r>
            <w:bookmarkStart w:id="0" w:name="_GoBack"/>
            <w:bookmarkEnd w:id="0"/>
            <w:r w:rsidRPr="00B60CAC">
              <w:rPr>
                <w:rFonts w:eastAsia="Times New Roman" w:cs="Times New Roman"/>
                <w:color w:val="000000"/>
                <w:sz w:val="20"/>
                <w:szCs w:val="20"/>
              </w:rPr>
              <w:t>curity Role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days post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days post </w:t>
            </w:r>
            <w:r w:rsidR="00C62592"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ICT Security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9428A8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ICT </w:t>
            </w:r>
            <w:r w:rsidR="00BD4E95"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Security establishes correct employee access for PA onboarding</w:t>
            </w:r>
          </w:p>
        </w:tc>
      </w:tr>
      <w:tr w:rsidR="00300D23" w:rsidRPr="00BD4E95" w:rsidTr="005C7947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60CAC" w:rsidRDefault="00BD4E95" w:rsidP="00300D2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0C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B60CAC">
              <w:rPr>
                <w:rFonts w:eastAsia="Times New Roman" w:cs="Times New Roman"/>
                <w:color w:val="000000"/>
                <w:sz w:val="20"/>
                <w:szCs w:val="20"/>
              </w:rPr>
              <w:t>Empl</w:t>
            </w:r>
            <w:proofErr w:type="spellEnd"/>
            <w:r w:rsidR="00300D23" w:rsidRPr="00B60CAC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B60C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Introductory Events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C62592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during 1st week on the job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Hiring Department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C24E3B" w:rsidRDefault="009428A8" w:rsidP="005C79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24E3B">
              <w:rPr>
                <w:rFonts w:eastAsia="Times New Roman" w:cs="Times New Roman"/>
                <w:color w:val="000000"/>
                <w:sz w:val="20"/>
                <w:szCs w:val="20"/>
              </w:rPr>
              <w:t>Links to s</w:t>
            </w:r>
            <w:r w:rsidR="00BD4E95" w:rsidRPr="00C24E3B">
              <w:rPr>
                <w:rFonts w:eastAsia="Times New Roman" w:cs="Times New Roman"/>
                <w:color w:val="000000"/>
                <w:sz w:val="20"/>
                <w:szCs w:val="20"/>
              </w:rPr>
              <w:t>uggested</w:t>
            </w:r>
            <w:r w:rsidR="005C7947" w:rsidRPr="00C24E3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checklists that supervisor should review with employee:</w:t>
            </w:r>
            <w:r w:rsidR="005C7947" w:rsidRPr="00C24E3B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="00BD4E95" w:rsidRPr="00C24E3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1st day </w:t>
            </w:r>
            <w:r w:rsidR="00BD4E95" w:rsidRPr="00C24E3B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hyperlink r:id="rId6" w:tgtFrame="_blank" w:history="1">
              <w:r w:rsidR="00C24E3B" w:rsidRPr="00C24E3B">
                <w:rPr>
                  <w:rStyle w:val="Hyperlink"/>
                  <w:rFonts w:cs="Times New Roman"/>
                  <w:sz w:val="20"/>
                  <w:szCs w:val="20"/>
                </w:rPr>
                <w:t>http://hr.nmsu.edu/wp-content/uploads/2014/09/1st-Day-Checklist-InternalHire.docx</w:t>
              </w:r>
            </w:hyperlink>
            <w:r w:rsidR="00BD4E95" w:rsidRPr="00C24E3B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 w:rsidRPr="00C24E3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="00BD4E95" w:rsidRPr="00C24E3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1st week</w:t>
            </w:r>
            <w:r w:rsidR="00BD4E95" w:rsidRPr="00C24E3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7" w:tgtFrame="_blank" w:history="1">
              <w:r w:rsidR="00C24E3B" w:rsidRPr="00C24E3B">
                <w:rPr>
                  <w:rStyle w:val="Hyperlink"/>
                  <w:rFonts w:cs="Times New Roman"/>
                  <w:sz w:val="20"/>
                  <w:szCs w:val="20"/>
                </w:rPr>
                <w:t>http://hr.nmsu.edu/wp-content/uploads/2014/09/1st-Week-Dept-Procedures-InternalHire.docx</w:t>
              </w:r>
            </w:hyperlink>
            <w:r w:rsidR="00BD4E95" w:rsidRPr="00C24E3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60CAC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0CAC">
              <w:rPr>
                <w:rFonts w:eastAsia="Times New Roman" w:cs="Times New Roman"/>
                <w:color w:val="000000"/>
                <w:sz w:val="20"/>
                <w:szCs w:val="20"/>
              </w:rPr>
              <w:t>Job Onboarding User Guide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C62592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9428A8" w:rsidP="00713D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Instructions </w:t>
            </w:r>
            <w:r w:rsidR="00713D10"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>to link for Onboarding system guide</w:t>
            </w:r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hyperlink r:id="rId8" w:history="1">
              <w:r w:rsidR="00AF6EAF" w:rsidRPr="00CE07A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http://hr.nmsu.edu/onboarding-guide/</w:t>
              </w:r>
            </w:hyperlink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Update Phonebook Preferences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8C5C2D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8C5C2D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 days post 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C24E3B" w:rsidP="00C24E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Informs that job change action updates title and department in NMSU Phonebook but employee is responsible for requesting a phone number update. Provides instruction on how to make request and </w:t>
            </w:r>
            <w:r w:rsidR="00713D10"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how to update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other </w:t>
            </w:r>
            <w:r w:rsidR="00713D10"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>NMSU Phonebook preferences</w:t>
            </w:r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>MyNMSU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Conflict of Interest Completed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PA (Simple)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C62592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300D23" w:rsidP="008C5C2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in</w:t>
            </w:r>
            <w:r w:rsidR="00713D10"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8C5C2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713D10"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days of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0677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Confirm </w:t>
            </w:r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>completion of submission of COI (</w:t>
            </w:r>
            <w:hyperlink r:id="rId9" w:history="1">
              <w:r w:rsidR="00AF6EAF" w:rsidRPr="00CE07A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http://hr.nmsu.edu/coi/</w:t>
              </w:r>
            </w:hyperlink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 w:rsidR="00B60CAC">
              <w:rPr>
                <w:rFonts w:eastAsia="Times New Roman" w:cs="Times New Roman"/>
                <w:color w:val="000000"/>
                <w:sz w:val="20"/>
                <w:szCs w:val="20"/>
              </w:rPr>
              <w:t>. Required if change in position creates new conflicts that didn’t exist or if existing conflicts need to be reported to new supervisor.</w:t>
            </w:r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Direct Deposit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8C5C2D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8C5C2D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 days post 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60C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>Invitatio</w:t>
            </w:r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>n to sign-up for Direct Deposit</w:t>
            </w:r>
            <w:r w:rsidR="00B60C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(if not already done so) </w:t>
            </w:r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via </w:t>
            </w:r>
            <w:proofErr w:type="spellStart"/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>MyNMSU</w:t>
            </w:r>
            <w:proofErr w:type="spellEnd"/>
            <w:r w:rsidR="00AF6EAF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Discusses pay advice delivery and how to open advice.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AF6EAF" w:rsidRDefault="00300D23" w:rsidP="00300D2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AF6EAF"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  <w:t xml:space="preserve">Faculty Deferred Pay Option </w:t>
            </w:r>
            <w:r w:rsidRPr="00AF6EAF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 xml:space="preserve">(if </w:t>
            </w:r>
            <w:proofErr w:type="spellStart"/>
            <w:r w:rsidRPr="00AF6EAF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apl</w:t>
            </w:r>
            <w:proofErr w:type="spellEnd"/>
            <w:r w:rsidRPr="00AF6EAF"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PA (Simple)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C62592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300D23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in</w:t>
            </w:r>
            <w:r w:rsidR="00713D10"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 days of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60C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Notification of defaulted 18 pays </w:t>
            </w:r>
            <w:r w:rsidR="00B60C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(regardless if previous job elected 24 pays) </w:t>
            </w: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>and invitation to defer to 24 pays with link to form.</w:t>
            </w:r>
            <w:r w:rsidR="00B60CA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Emergency Notifications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8C5C2D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8C5C2D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 days post 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D10" w:rsidRPr="00BD4E95" w:rsidRDefault="00B60CAC" w:rsidP="00B60C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Reminder to review emergency contact on file and d</w:t>
            </w:r>
            <w:r w:rsidR="00713D10"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>esignate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</w:t>
            </w:r>
            <w:r w:rsidR="00713D10"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notification preferences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AF6EAF" w:rsidRPr="00AF6EAF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hyperlink r:id="rId10" w:history="1">
              <w:r w:rsidR="00AF6EAF" w:rsidRPr="00AF6EAF">
                <w:rPr>
                  <w:rStyle w:val="Hyperlink"/>
                  <w:sz w:val="20"/>
                  <w:szCs w:val="20"/>
                </w:rPr>
                <w:t>https://myaccount.nmsu.edu/etm</w:t>
              </w:r>
            </w:hyperlink>
            <w:r w:rsidR="00AF6EAF" w:rsidRPr="00AF6EAF">
              <w:rPr>
                <w:rStyle w:val="Hyperlink"/>
                <w:sz w:val="20"/>
                <w:szCs w:val="20"/>
              </w:rPr>
              <w:t>)</w:t>
            </w:r>
          </w:p>
        </w:tc>
      </w:tr>
      <w:tr w:rsidR="00300D23" w:rsidRPr="00BD4E95" w:rsidTr="005C794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60CAC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0CAC">
              <w:rPr>
                <w:rFonts w:eastAsia="Times New Roman" w:cs="Times New Roman"/>
                <w:color w:val="000000"/>
                <w:sz w:val="20"/>
                <w:szCs w:val="20"/>
              </w:rPr>
              <w:t>Policy Acknowledgement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PA (Simple)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C62592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300D23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in</w:t>
            </w:r>
            <w:r w:rsidR="00BD4E95"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30 days of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713D10" w:rsidP="004639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>Acknowledgement of Policy Manual, CBA and specific employment policies (Ch3: 3.20, 3.21, 3.25, 3.40, Ch4: 4.05, 4.30, Ch5: 5.90, Ch7: 7.2, 7.20.45, Ch8: 8.30, 8.50, CBA ref</w:t>
            </w:r>
            <w:r w:rsidR="005C7947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to Article 3 for eligibility.</w:t>
            </w:r>
          </w:p>
        </w:tc>
      </w:tr>
      <w:tr w:rsidR="00300D23" w:rsidRPr="00BD4E95" w:rsidTr="005C7947">
        <w:trPr>
          <w:trHeight w:val="600"/>
        </w:trPr>
        <w:tc>
          <w:tcPr>
            <w:tcW w:w="30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60CAC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0CAC">
              <w:rPr>
                <w:rFonts w:eastAsia="Times New Roman" w:cs="Times New Roman"/>
                <w:color w:val="000000"/>
                <w:sz w:val="20"/>
                <w:szCs w:val="20"/>
              </w:rPr>
              <w:t>Compliance Training- Job Specific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C62592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4639AC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="00BD4E95"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n accordance with dept. requirement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BD4E95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4E95">
              <w:rPr>
                <w:rFonts w:eastAsia="Times New Roman" w:cs="Times New Roman"/>
                <w:color w:val="000000"/>
                <w:sz w:val="20"/>
                <w:szCs w:val="20"/>
              </w:rPr>
              <w:t>Hiring Department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D4E95" w:rsidRPr="00BD4E95" w:rsidRDefault="00713D10" w:rsidP="00BD4E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439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Recommendation to use the checklist at </w:t>
            </w:r>
            <w:hyperlink r:id="rId11" w:history="1">
              <w:r w:rsidRPr="00A43936">
                <w:rPr>
                  <w:rStyle w:val="Hyperlink"/>
                  <w:sz w:val="20"/>
                  <w:szCs w:val="20"/>
                </w:rPr>
                <w:t>http://hr.nmsu.edu/wp-content/uploads/2014/08/Training-Job-Specific.docx</w:t>
              </w:r>
            </w:hyperlink>
            <w:r w:rsidRPr="00A43936">
              <w:rPr>
                <w:sz w:val="20"/>
                <w:szCs w:val="20"/>
              </w:rPr>
              <w:t xml:space="preserve"> to determine job specific training needed for position. Includes links to CLPD and EH&amp;S course pages.</w:t>
            </w:r>
            <w:r w:rsidR="00A43936" w:rsidRPr="00A43936">
              <w:rPr>
                <w:sz w:val="20"/>
                <w:szCs w:val="20"/>
              </w:rPr>
              <w:t xml:space="preserve"> Includes instructions for satellite campuses/offices</w:t>
            </w:r>
            <w:r w:rsidR="00AF6EAF">
              <w:rPr>
                <w:sz w:val="20"/>
                <w:szCs w:val="20"/>
              </w:rPr>
              <w:t>.</w:t>
            </w:r>
          </w:p>
        </w:tc>
      </w:tr>
    </w:tbl>
    <w:p w:rsidR="00AB5E57" w:rsidRPr="00AF6EAF" w:rsidRDefault="00AF6EAF" w:rsidP="00AF6EAF">
      <w:pPr>
        <w:jc w:val="center"/>
        <w:rPr>
          <w:sz w:val="20"/>
          <w:szCs w:val="20"/>
        </w:rPr>
      </w:pPr>
      <w:r w:rsidRPr="00AF6EAF">
        <w:rPr>
          <w:sz w:val="20"/>
          <w:szCs w:val="20"/>
          <w:highlight w:val="yellow"/>
        </w:rPr>
        <w:t>Yellow Highlight indicates task that is hire type specific. Remove this task if it does not apply.</w:t>
      </w:r>
    </w:p>
    <w:sectPr w:rsidR="00AB5E57" w:rsidRPr="00AF6EAF" w:rsidSect="004639AC">
      <w:pgSz w:w="20160" w:h="12240" w:orient="landscape" w:code="5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95"/>
    <w:rsid w:val="002E04B5"/>
    <w:rsid w:val="00300D23"/>
    <w:rsid w:val="003C2A13"/>
    <w:rsid w:val="00405265"/>
    <w:rsid w:val="004639AC"/>
    <w:rsid w:val="00485180"/>
    <w:rsid w:val="0050359A"/>
    <w:rsid w:val="005128A8"/>
    <w:rsid w:val="005C7947"/>
    <w:rsid w:val="00713D10"/>
    <w:rsid w:val="0076590C"/>
    <w:rsid w:val="00860297"/>
    <w:rsid w:val="008C5C2D"/>
    <w:rsid w:val="009428A8"/>
    <w:rsid w:val="00A43936"/>
    <w:rsid w:val="00A57E8B"/>
    <w:rsid w:val="00AF6EAF"/>
    <w:rsid w:val="00B60CAC"/>
    <w:rsid w:val="00BA080B"/>
    <w:rsid w:val="00BD4E95"/>
    <w:rsid w:val="00C24E3B"/>
    <w:rsid w:val="00C62592"/>
    <w:rsid w:val="00C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nmsu.edu/onboarding-guid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r.nmsu.edu/wp-content/uploads/2014/09/1st-Week-Dept-Procedures-InternalHire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r.nmsu.edu/wp-content/uploads/2014/09/1st-Day-Checklist-InternalHire.docx" TargetMode="External"/><Relationship Id="rId11" Type="http://schemas.openxmlformats.org/officeDocument/2006/relationships/hyperlink" Target="http://hr.nmsu.edu/wp-content/uploads/2014/08/Training-Job-Specific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account.nmsu.edu/e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nmsu.edu/co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CB30-2EC0-415E-8930-1BE3A261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 Gabaldon</dc:creator>
  <cp:lastModifiedBy>Amber M Gabaldon</cp:lastModifiedBy>
  <cp:revision>3</cp:revision>
  <cp:lastPrinted>2014-10-28T21:30:00Z</cp:lastPrinted>
  <dcterms:created xsi:type="dcterms:W3CDTF">2015-03-04T18:27:00Z</dcterms:created>
  <dcterms:modified xsi:type="dcterms:W3CDTF">2015-03-04T18:31:00Z</dcterms:modified>
</cp:coreProperties>
</file>